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0004801-57.2020.8.01.0000</w:t>
      </w:r>
    </w:p>
    <w:p>
      <w:pPr>
        <w:pStyle w:val="BodyText"/>
        <w:spacing w:line="276" w:lineRule="auto" w:before="52"/>
        <w:ind w:left="176" w:right="556" w:firstLine="7"/>
        <w:jc w:val="center"/>
      </w:pPr>
      <w:r>
        <w:rPr/>
        <w:t>Estudos Preliminares para Contratação, via ARP, de empresa</w:t>
      </w:r>
      <w:r>
        <w:rPr>
          <w:spacing w:val="1"/>
        </w:rPr>
        <w:t> </w:t>
      </w:r>
      <w:r>
        <w:rPr/>
        <w:t>especializada no fornecimento de 75 (setenta e cinco) licenças de uso das</w:t>
      </w:r>
      <w:r>
        <w:rPr>
          <w:spacing w:val="-71"/>
        </w:rPr>
        <w:t> </w:t>
      </w:r>
      <w:r>
        <w:rPr/>
        <w:t>ferramentas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colaboração G-Suite,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fabricante</w:t>
      </w:r>
      <w:r>
        <w:rPr>
          <w:spacing w:val="-2"/>
        </w:rPr>
        <w:t> </w:t>
      </w:r>
      <w:r>
        <w:rPr/>
        <w:t>Google</w:t>
      </w:r>
    </w:p>
    <w:p>
      <w:pPr>
        <w:pStyle w:val="BodyText"/>
        <w:spacing w:before="2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658447pt;width:481.2pt;height:19.2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2"/>
                    <w:ind w:left="1949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29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INFORMAÇÃO</w:t>
            </w:r>
          </w:p>
        </w:tc>
      </w:tr>
      <w:tr>
        <w:trPr>
          <w:trHeight w:val="1469" w:hRule="atLeast"/>
        </w:trPr>
        <w:tc>
          <w:tcPr>
            <w:tcW w:w="9603" w:type="dxa"/>
          </w:tcPr>
          <w:p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Contratação,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ARP,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cinco)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licenças de uso das ferramentas de colaboração G-Suite, da fabricante Google,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englobem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gravação,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arquivos,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nuvem,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e-mail, agenda,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calendário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3846"/>
        <w:gridCol w:w="3778"/>
      </w:tblGrid>
      <w:tr>
        <w:trPr>
          <w:trHeight w:val="373" w:hRule="atLeast"/>
        </w:trPr>
        <w:tc>
          <w:tcPr>
            <w:tcW w:w="9605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0" w:hRule="atLeast"/>
        </w:trPr>
        <w:tc>
          <w:tcPr>
            <w:tcW w:w="5827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2329" w:right="23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3778" w:type="dxa"/>
            <w:shd w:val="clear" w:color="auto" w:fill="E1EED9"/>
          </w:tcPr>
          <w:p>
            <w:pPr>
              <w:pStyle w:val="TableParagraph"/>
              <w:spacing w:before="38"/>
              <w:ind w:left="1566" w:right="15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2" w:hRule="atLeast"/>
        </w:trPr>
        <w:tc>
          <w:tcPr>
            <w:tcW w:w="1981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270" w:lineRule="atLeast" w:before="41"/>
              <w:ind w:left="111" w:right="8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3846" w:type="dxa"/>
            <w:tcBorders>
              <w:bottom w:val="nil"/>
            </w:tcBorders>
          </w:tcPr>
          <w:p>
            <w:pPr>
              <w:pStyle w:val="TableParagraph"/>
              <w:tabs>
                <w:tab w:pos="1854" w:val="left" w:leader="none"/>
                <w:tab w:pos="2538" w:val="left" w:leader="none"/>
                <w:tab w:pos="3471" w:val="left" w:leader="none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Contratação,</w:t>
              <w:tab/>
              <w:t>via</w:t>
              <w:tab/>
              <w:t>ARP,</w:t>
              <w:tab/>
              <w:t>de</w:t>
            </w:r>
          </w:p>
          <w:p>
            <w:pPr>
              <w:pStyle w:val="TableParagraph"/>
              <w:tabs>
                <w:tab w:pos="1521" w:val="left" w:leader="none"/>
                <w:tab w:pos="3467" w:val="left" w:leader="none"/>
              </w:tabs>
              <w:spacing w:line="275" w:lineRule="exact" w:before="40"/>
              <w:ind w:left="106"/>
              <w:rPr>
                <w:sz w:val="24"/>
              </w:rPr>
            </w:pPr>
            <w:r>
              <w:rPr>
                <w:sz w:val="24"/>
              </w:rPr>
              <w:t>empresa</w:t>
              <w:tab/>
              <w:t>especializada</w:t>
              <w:tab/>
              <w:t>no</w:t>
            </w:r>
          </w:p>
        </w:tc>
        <w:tc>
          <w:tcPr>
            <w:tcW w:w="3778" w:type="dxa"/>
            <w:vMerge w:val="restart"/>
          </w:tcPr>
          <w:p>
            <w:pPr>
              <w:pStyle w:val="TableParagraph"/>
              <w:spacing w:line="242" w:lineRule="auto" w:before="42"/>
              <w:ind w:left="106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217.701,00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dezessete mil, setecentos e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cinco)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licenças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pelo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período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Sendo: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 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mensal: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6.047,25</w:t>
            </w: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4" w:val="left" w:leader="none"/>
                <w:tab w:pos="2150" w:val="left" w:leader="none"/>
                <w:tab w:pos="2690" w:val="left" w:leader="none"/>
                <w:tab w:pos="3345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cinco)</w:t>
              <w:tab/>
              <w:t>licenças</w:t>
              <w:tab/>
              <w:t>de</w:t>
              <w:tab/>
              <w:t>uso</w:t>
              <w:tab/>
              <w:t>das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ferramentas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colaboração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G-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Suite,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Google,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que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englobem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gravação,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office,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servidor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arquivos,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7" w:val="left" w:leader="none"/>
                <w:tab w:pos="2866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nuvem,</w:t>
              <w:tab/>
              <w:t>e-mail,</w:t>
              <w:tab/>
              <w:t>agenda,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981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calendário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8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4" w:type="dxa"/>
            <w:gridSpan w:val="2"/>
          </w:tcPr>
          <w:p>
            <w:pPr>
              <w:pStyle w:val="TableParagraph"/>
              <w:spacing w:line="27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2023"/>
                <w:sz w:val="24"/>
              </w:rPr>
              <w:t>APLICATIVOS</w:t>
            </w:r>
            <w:r>
              <w:rPr>
                <w:rFonts w:ascii="Arial" w:hAnsi="Arial"/>
                <w:b/>
                <w:color w:val="1F2023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1F2023"/>
                <w:sz w:val="24"/>
              </w:rPr>
              <w:t>INCLUÍDOS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8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5">
              <w:r>
                <w:rPr>
                  <w:sz w:val="24"/>
                  <w:u w:val="single"/>
                </w:rPr>
                <w:t>Gmail</w:t>
              </w:r>
              <w:r>
                <w:rPr>
                  <w:spacing w:val="-3"/>
                  <w:sz w:val="24"/>
                </w:rPr>
                <w:t> </w:t>
              </w:r>
            </w:hyperlink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6">
              <w:r>
                <w:rPr>
                  <w:sz w:val="24"/>
                  <w:u w:val="single"/>
                </w:rPr>
                <w:t>Meet</w:t>
              </w:r>
              <w:r>
                <w:rPr>
                  <w:spacing w:val="-2"/>
                  <w:sz w:val="24"/>
                </w:rPr>
                <w:t> </w:t>
              </w:r>
            </w:hyperlink>
            <w:r>
              <w:rPr>
                <w:sz w:val="24"/>
              </w:rPr>
              <w:t>Videoconferências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chamadas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voz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7">
              <w:r>
                <w:rPr>
                  <w:sz w:val="24"/>
                  <w:u w:val="single"/>
                </w:rPr>
                <w:t>Chat</w:t>
              </w:r>
              <w:r>
                <w:rPr>
                  <w:spacing w:val="-1"/>
                  <w:sz w:val="24"/>
                </w:rPr>
                <w:t> </w:t>
              </w:r>
            </w:hyperlink>
            <w:r>
              <w:rPr>
                <w:sz w:val="24"/>
              </w:rPr>
              <w:t>Mensagens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8">
              <w:r>
                <w:rPr>
                  <w:sz w:val="24"/>
                  <w:u w:val="single"/>
                </w:rPr>
                <w:t>Agenda</w:t>
              </w:r>
              <w:r>
                <w:rPr>
                  <w:spacing w:val="-6"/>
                  <w:sz w:val="24"/>
                </w:rPr>
                <w:t> </w:t>
              </w:r>
            </w:hyperlink>
            <w:r>
              <w:rPr>
                <w:sz w:val="24"/>
              </w:rPr>
              <w:t>Agendas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compartilhadas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9">
              <w:r>
                <w:rPr>
                  <w:sz w:val="24"/>
                  <w:u w:val="single"/>
                </w:rPr>
                <w:t>Drive</w:t>
              </w:r>
              <w:r>
                <w:rPr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Armazenamento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nuvem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ilimitado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0">
              <w:r>
                <w:rPr>
                  <w:sz w:val="24"/>
                  <w:u w:val="single"/>
                </w:rPr>
                <w:t>Documentos</w:t>
              </w:r>
              <w:r>
                <w:rPr>
                  <w:spacing w:val="-2"/>
                  <w:sz w:val="24"/>
                </w:rPr>
                <w:t> </w:t>
              </w:r>
            </w:hyperlink>
            <w:r>
              <w:rPr>
                <w:sz w:val="24"/>
              </w:rPr>
              <w:t>Processamento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1">
              <w:r>
                <w:rPr>
                  <w:sz w:val="24"/>
                  <w:u w:val="single"/>
                </w:rPr>
                <w:t>Planilhas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2">
              <w:r>
                <w:rPr>
                  <w:sz w:val="24"/>
                  <w:u w:val="single"/>
                </w:rPr>
                <w:t>Apresentações</w:t>
              </w:r>
              <w:r>
                <w:rPr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Criador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3">
              <w:r>
                <w:rPr>
                  <w:sz w:val="24"/>
                  <w:u w:val="single"/>
                </w:rPr>
                <w:t>Formulários</w:t>
              </w:r>
              <w:r>
                <w:rPr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Criador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pesquisas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4">
              <w:r>
                <w:rPr>
                  <w:sz w:val="24"/>
                  <w:u w:val="single"/>
                </w:rPr>
                <w:t>Sites</w:t>
              </w:r>
              <w:r>
                <w:rPr>
                  <w:spacing w:val="-3"/>
                  <w:sz w:val="24"/>
                </w:rPr>
                <w:t> </w:t>
              </w:r>
            </w:hyperlink>
            <w:r>
              <w:rPr>
                <w:sz w:val="24"/>
              </w:rPr>
              <w:t>Criador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5">
              <w:r>
                <w:rPr>
                  <w:sz w:val="24"/>
                  <w:u w:val="single"/>
                </w:rPr>
                <w:t>Keep</w:t>
              </w:r>
              <w:r>
                <w:rPr>
                  <w:spacing w:val="-6"/>
                  <w:sz w:val="24"/>
                </w:rPr>
                <w:t> </w:t>
              </w:r>
            </w:hyperlink>
            <w:r>
              <w:rPr>
                <w:sz w:val="24"/>
              </w:rPr>
              <w:t>Notas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compartilhadas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hyperlink r:id="rId16">
              <w:r>
                <w:rPr>
                  <w:sz w:val="24"/>
                  <w:u w:val="single"/>
                </w:rPr>
                <w:t>Currents</w:t>
              </w:r>
              <w:r>
                <w:rPr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Garante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funcionários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87" w:hanging="360"/>
              <w:jc w:val="left"/>
              <w:rPr>
                <w:rFonts w:ascii="Symbol" w:hAnsi="Symbol"/>
                <w:sz w:val="20"/>
              </w:rPr>
            </w:pPr>
            <w:hyperlink r:id="rId17">
              <w:r>
                <w:rPr>
                  <w:sz w:val="24"/>
                  <w:u w:val="single"/>
                </w:rPr>
                <w:t>Apps</w:t>
              </w:r>
              <w:r>
                <w:rPr>
                  <w:spacing w:val="-3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Script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Automatize,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amplia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negócios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5" w:after="0"/>
              <w:ind w:left="827" w:right="0" w:hanging="361"/>
              <w:jc w:val="left"/>
              <w:rPr>
                <w:rFonts w:ascii="Symbol" w:hAnsi="Symbol"/>
                <w:sz w:val="24"/>
              </w:rPr>
            </w:pPr>
            <w:hyperlink r:id="rId18">
              <w:r>
                <w:rPr>
                  <w:sz w:val="24"/>
                  <w:u w:val="single"/>
                </w:rPr>
                <w:t>Cloud</w:t>
              </w:r>
              <w:r>
                <w:rPr>
                  <w:spacing w:val="-4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Search</w:t>
              </w:r>
              <w:r>
                <w:rPr>
                  <w:spacing w:val="-2"/>
                  <w:sz w:val="24"/>
                </w:rPr>
                <w:t> </w:t>
              </w:r>
            </w:hyperlink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inteligente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</w:tc>
      </w:tr>
      <w:tr>
        <w:trPr>
          <w:trHeight w:val="373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7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4" w:type="dxa"/>
            <w:gridSpan w:val="2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ARP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2/2020-PGJ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(0842081).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9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50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5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3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37"/>
              <w:ind w:left="88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37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37"/>
              <w:ind w:left="310" w:right="248" w:hanging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1293"/>
        <w:gridCol w:w="4682"/>
        <w:gridCol w:w="2017"/>
      </w:tblGrid>
      <w:tr>
        <w:trPr>
          <w:trHeight w:val="370" w:hRule="atLeast"/>
        </w:trPr>
        <w:tc>
          <w:tcPr>
            <w:tcW w:w="9645" w:type="dxa"/>
            <w:gridSpan w:val="5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4" w:hRule="atLeast"/>
        </w:trPr>
        <w:tc>
          <w:tcPr>
            <w:tcW w:w="9645" w:type="dxa"/>
            <w:gridSpan w:val="5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2070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2" w:type="dxa"/>
            <w:gridSpan w:val="3"/>
          </w:tcPr>
          <w:p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Contratação, via ARP, de empresa especializada no fornecimento de 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(setenta e cinco) licenças de uso das ferramentas de colaboração 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Google,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englobem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gravação,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pacote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servidor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arquivos,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armazenamento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nuvem,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e-mail,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calendário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</w:tr>
      <w:tr>
        <w:trPr>
          <w:trHeight w:val="37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38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8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2574" w:right="257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7" w:type="dxa"/>
            <w:shd w:val="clear" w:color="auto" w:fill="E1EED9"/>
          </w:tcPr>
          <w:p>
            <w:pPr>
              <w:pStyle w:val="TableParagraph"/>
              <w:spacing w:before="3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331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8" w:type="dxa"/>
            <w:gridSpan w:val="3"/>
          </w:tcPr>
          <w:p>
            <w:pPr>
              <w:pStyle w:val="TableParagraph"/>
              <w:tabs>
                <w:tab w:pos="1118" w:val="left" w:leader="none"/>
                <w:tab w:pos="2652" w:val="left" w:leader="none"/>
                <w:tab w:pos="3306" w:val="left" w:leader="none"/>
                <w:tab w:pos="4454" w:val="left" w:leader="none"/>
                <w:tab w:pos="5239" w:val="left" w:leader="none"/>
                <w:tab w:pos="5988" w:val="left" w:leader="none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- Ferramentas de colaboração G-Suite, da fabricante Google,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aplicativos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incluídos:  </w:t>
            </w:r>
            <w:r>
              <w:rPr>
                <w:spacing w:val="1"/>
                <w:sz w:val="24"/>
              </w:rPr>
              <w:t> </w:t>
            </w:r>
            <w:hyperlink r:id="rId5">
              <w:r>
                <w:rPr>
                  <w:sz w:val="24"/>
                  <w:u w:val="single"/>
                </w:rPr>
                <w:t>Gmail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E-mail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comercial;</w:t>
            </w:r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sz w:val="24"/>
                  <w:u w:val="single"/>
                </w:rPr>
                <w:t>Meet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Videoconferências e chamadas de voz; </w:t>
            </w:r>
            <w:hyperlink r:id="rId7">
              <w:r>
                <w:rPr>
                  <w:sz w:val="24"/>
                  <w:u w:val="single"/>
                </w:rPr>
                <w:t>Chat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Mensagens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  <w:tab/>
              <w:t>equipe;</w:t>
              <w:tab/>
            </w:r>
            <w:hyperlink r:id="rId8">
              <w:r>
                <w:rPr>
                  <w:sz w:val="24"/>
                  <w:u w:val="single"/>
                </w:rPr>
                <w:t>Agenda</w:t>
              </w:r>
              <w:r>
                <w:rPr>
                  <w:spacing w:val="-3"/>
                  <w:sz w:val="24"/>
                </w:rPr>
                <w:t> </w:t>
              </w:r>
            </w:hyperlink>
            <w:r>
              <w:rPr>
                <w:sz w:val="24"/>
              </w:rPr>
              <w:t>Agendas</w:t>
              <w:tab/>
            </w:r>
            <w:r>
              <w:rPr>
                <w:spacing w:val="-1"/>
                <w:sz w:val="24"/>
              </w:rPr>
              <w:t>compartilhadas;</w:t>
            </w:r>
            <w:r>
              <w:rPr>
                <w:spacing w:val="-64"/>
                <w:sz w:val="24"/>
              </w:rPr>
              <w:t> </w:t>
            </w:r>
            <w:hyperlink r:id="rId9">
              <w:r>
                <w:rPr>
                  <w:sz w:val="24"/>
                  <w:u w:val="single"/>
                </w:rPr>
                <w:t>Drive</w:t>
              </w:r>
              <w:r>
                <w:rPr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Armazenamento</w:t>
              <w:tab/>
              <w:tab/>
              <w:t>em</w:t>
              <w:tab/>
              <w:t>nuvem</w:t>
              <w:tab/>
              <w:tab/>
            </w:r>
            <w:r>
              <w:rPr>
                <w:spacing w:val="-1"/>
                <w:sz w:val="24"/>
              </w:rPr>
              <w:t>ilimitado;</w:t>
            </w:r>
            <w:r>
              <w:rPr>
                <w:spacing w:val="-64"/>
                <w:sz w:val="24"/>
              </w:rPr>
              <w:t> </w:t>
            </w:r>
            <w:hyperlink r:id="rId10">
              <w:r>
                <w:rPr>
                  <w:sz w:val="24"/>
                  <w:u w:val="single"/>
                </w:rPr>
                <w:t>Documentos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Processamento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texto;</w:t>
            </w:r>
            <w:r>
              <w:rPr>
                <w:spacing w:val="1"/>
                <w:sz w:val="24"/>
              </w:rPr>
              <w:t> </w:t>
            </w:r>
            <w:hyperlink r:id="rId11">
              <w:r>
                <w:rPr>
                  <w:sz w:val="24"/>
                  <w:u w:val="single"/>
                </w:rPr>
                <w:t>Planilhas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Planilhas;</w:t>
            </w:r>
            <w:r>
              <w:rPr>
                <w:spacing w:val="1"/>
                <w:sz w:val="24"/>
              </w:rPr>
              <w:t> </w:t>
            </w:r>
            <w:hyperlink r:id="rId12">
              <w:r>
                <w:rPr>
                  <w:sz w:val="24"/>
                  <w:u w:val="single"/>
                </w:rPr>
                <w:t>Apresentações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Criador de apresentações; </w:t>
            </w:r>
            <w:hyperlink r:id="rId13">
              <w:r>
                <w:rPr>
                  <w:sz w:val="24"/>
                  <w:u w:val="single"/>
                </w:rPr>
                <w:t>Formulários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Criador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pesquisas profissionais; </w:t>
            </w:r>
            <w:hyperlink r:id="rId14">
              <w:r>
                <w:rPr>
                  <w:sz w:val="24"/>
                  <w:u w:val="single"/>
                </w:rPr>
                <w:t>Sites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Criador de sites; </w:t>
            </w:r>
            <w:hyperlink r:id="rId15">
              <w:r>
                <w:rPr>
                  <w:sz w:val="24"/>
                  <w:u w:val="single"/>
                </w:rPr>
                <w:t>Keep</w:t>
              </w:r>
            </w:hyperlink>
            <w:r>
              <w:rPr>
                <w:sz w:val="24"/>
              </w:rPr>
              <w:t> Notas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compartilhadas;</w:t>
            </w:r>
            <w:r>
              <w:rPr>
                <w:spacing w:val="1"/>
                <w:sz w:val="24"/>
              </w:rPr>
              <w:t> </w:t>
            </w:r>
            <w:hyperlink r:id="rId16">
              <w:r>
                <w:rPr>
                  <w:sz w:val="24"/>
                  <w:u w:val="single"/>
                </w:rPr>
                <w:t>Currents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Garanta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funcionários;</w:t>
            </w:r>
            <w:r>
              <w:rPr>
                <w:spacing w:val="55"/>
                <w:sz w:val="24"/>
              </w:rPr>
              <w:t> </w:t>
            </w:r>
            <w:hyperlink r:id="rId17">
              <w:r>
                <w:rPr>
                  <w:sz w:val="24"/>
                  <w:u w:val="single"/>
                </w:rPr>
                <w:t>Apps</w:t>
              </w:r>
              <w:r>
                <w:rPr>
                  <w:spacing w:val="53"/>
                  <w:sz w:val="24"/>
                  <w:u w:val="single"/>
                </w:rPr>
                <w:t> </w:t>
              </w:r>
              <w:r>
                <w:rPr>
                  <w:sz w:val="24"/>
                  <w:u w:val="single"/>
                </w:rPr>
                <w:t>Script</w:t>
              </w:r>
              <w:r>
                <w:rPr>
                  <w:spacing w:val="1"/>
                  <w:sz w:val="24"/>
                </w:rPr>
                <w:t> </w:t>
              </w:r>
            </w:hyperlink>
            <w:r>
              <w:rPr>
                <w:sz w:val="24"/>
              </w:rPr>
              <w:t>Automatize,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integre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amplie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os</w:t>
            </w:r>
          </w:p>
          <w:p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negócios com o G Suite e </w:t>
            </w:r>
            <w:hyperlink r:id="rId18">
              <w:r>
                <w:rPr>
                  <w:sz w:val="24"/>
                  <w:u w:val="single"/>
                </w:rPr>
                <w:t>Cloud Search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</w:rPr>
              <w:t>Pesquisa inteligente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Suite.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 w:before="46"/>
              <w:ind w:left="105" w:right="9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licença, sendo: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 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</w:p>
          <w:p>
            <w:pPr>
              <w:pStyle w:val="TableParagraph"/>
              <w:tabs>
                <w:tab w:pos="996" w:val="left" w:leader="none"/>
              </w:tabs>
              <w:spacing w:before="17"/>
              <w:ind w:left="105" w:righ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  <w:tab/>
            </w:r>
            <w:r>
              <w:rPr>
                <w:rFonts w:ascii="Arial"/>
                <w:b/>
                <w:spacing w:val="-1"/>
                <w:sz w:val="24"/>
              </w:rPr>
              <w:t>mensal: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6.047,25</w:t>
            </w:r>
          </w:p>
        </w:tc>
      </w:tr>
      <w:tr>
        <w:trPr>
          <w:trHeight w:val="372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11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9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438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prestação de serviço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total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segurança,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sem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possibilidade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interrupção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mesmos virem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transtornos 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</w:tc>
      </w:tr>
      <w:tr>
        <w:trPr>
          <w:trHeight w:val="39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6699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  <w:tab w:pos="467" w:val="left" w:leader="none"/>
              </w:tabs>
              <w:spacing w:line="240" w:lineRule="auto" w:before="49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30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2338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ind w:left="111" w:right="513"/>
              <w:rPr>
                <w:sz w:val="24"/>
              </w:rPr>
            </w:pP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0" w:after="0"/>
              <w:ind w:left="46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todas as unidades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permitindo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58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videoconferência,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garantia de ter um serviço especializado e celeridade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1834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38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44" w:after="0"/>
              <w:ind w:left="467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55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 solução continuidade das videoconferências nas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atendendo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determinação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contida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674/2020.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84.425003pt;margin-top:18.600004pt;width:481.2pt;height:19.25pt;mso-position-horizontal-relative:page;mso-position-vertical-relative:paragraph;z-index:-15728128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0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37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925" w:hRule="atLeast"/>
        </w:trPr>
        <w:tc>
          <w:tcPr>
            <w:tcW w:w="9603" w:type="dxa"/>
          </w:tcPr>
          <w:p>
            <w:pPr>
              <w:pStyle w:val="TableParagraph"/>
              <w:spacing w:before="46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O Plano de Sustentação visa garantir a expansão da infraestrutura de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 de Justiça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Acre, 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estratégico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4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611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8"/>
              <w:ind w:left="823" w:right="453" w:hanging="360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7" w:lineRule="auto" w:before="197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479" w:val="left" w:leader="none"/>
                <w:tab w:pos="2518" w:val="left" w:leader="none"/>
                <w:tab w:pos="2600" w:val="left" w:leader="none"/>
              </w:tabs>
              <w:spacing w:line="240" w:lineRule="auto" w:before="7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  <w:tab/>
              <w:tab/>
              <w:tab/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  <w:tab/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107" w:right="13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Help Desk (via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telefone)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será dado 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No caso da intervenção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local, a equipe 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seguirá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cronograma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detalhará as etapas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364"/>
        <w:gridCol w:w="3685"/>
        <w:gridCol w:w="2120"/>
      </w:tblGrid>
      <w:tr>
        <w:trPr>
          <w:trHeight w:val="374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5" w:hRule="atLeast"/>
        </w:trPr>
        <w:tc>
          <w:tcPr>
            <w:tcW w:w="1432" w:type="dxa"/>
          </w:tcPr>
          <w:p>
            <w:pPr>
              <w:pStyle w:val="TableParagraph"/>
              <w:spacing w:before="33"/>
              <w:ind w:left="92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ID</w:t>
            </w:r>
            <w:r>
              <w:rPr>
                <w:rFonts w:ascii="Arial" w:hAnsi="Arial"/>
                <w:b/>
                <w:spacing w:val="-3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  <w:tc>
          <w:tcPr>
            <w:tcW w:w="2364" w:type="dxa"/>
          </w:tcPr>
          <w:p>
            <w:pPr>
              <w:pStyle w:val="TableParagraph"/>
              <w:spacing w:before="33"/>
              <w:ind w:left="7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33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33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022" w:hRule="atLeast"/>
        </w:trPr>
        <w:tc>
          <w:tcPr>
            <w:tcW w:w="143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364" w:type="dxa"/>
          </w:tcPr>
          <w:p>
            <w:pPr>
              <w:pStyle w:val="TableParagraph"/>
              <w:spacing w:line="244" w:lineRule="auto" w:before="2"/>
              <w:ind w:left="107" w:right="90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 w:before="2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tabs>
                <w:tab w:pos="1657" w:val="left" w:leader="none"/>
              </w:tabs>
              <w:spacing w:line="247" w:lineRule="auto" w:before="142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5"/>
      </w:tblGrid>
      <w:tr>
        <w:trPr>
          <w:trHeight w:val="374" w:hRule="atLeast"/>
        </w:trPr>
        <w:tc>
          <w:tcPr>
            <w:tcW w:w="9675" w:type="dxa"/>
            <w:shd w:val="clear" w:color="auto" w:fill="E1EED9"/>
          </w:tcPr>
          <w:p>
            <w:pPr>
              <w:pStyle w:val="TableParagraph"/>
              <w:spacing w:before="42"/>
              <w:ind w:left="467"/>
              <w:rPr>
                <w:rFonts w:asci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NATUREZA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OBJETO</w:t>
            </w:r>
          </w:p>
        </w:tc>
      </w:tr>
      <w:tr>
        <w:trPr>
          <w:trHeight w:val="925" w:hRule="atLeast"/>
        </w:trPr>
        <w:tc>
          <w:tcPr>
            <w:tcW w:w="9675" w:type="dxa"/>
          </w:tcPr>
          <w:p>
            <w:pPr>
              <w:pStyle w:val="TableParagraph"/>
              <w:spacing w:before="42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Trata-se de serviço enquadrado como bem comum nos termos da Lei Federal 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10.520/2002, em virtude do fato de ser possível especificar o serviço e medir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parâmetros usuais 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mercado.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05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38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MODALIDADE/TIPO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LICITAÇÃO</w:t>
            </w:r>
          </w:p>
        </w:tc>
      </w:tr>
      <w:tr>
        <w:trPr>
          <w:trHeight w:val="374" w:hRule="atLeast"/>
        </w:trPr>
        <w:tc>
          <w:tcPr>
            <w:tcW w:w="9635" w:type="dxa"/>
          </w:tcPr>
          <w:p>
            <w:pPr>
              <w:pStyle w:val="TableParagraph"/>
              <w:spacing w:before="42"/>
              <w:ind w:left="827"/>
              <w:rPr>
                <w:sz w:val="24"/>
              </w:rPr>
            </w:pPr>
            <w:r>
              <w:rPr>
                <w:sz w:val="24"/>
              </w:rPr>
              <w:t>Contração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ARP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05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38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VIGÊNCIA</w:t>
            </w:r>
          </w:p>
        </w:tc>
      </w:tr>
      <w:tr>
        <w:trPr>
          <w:trHeight w:val="650" w:hRule="atLeast"/>
        </w:trPr>
        <w:tc>
          <w:tcPr>
            <w:tcW w:w="9635" w:type="dxa"/>
          </w:tcPr>
          <w:p>
            <w:pPr>
              <w:pStyle w:val="TableParagraph"/>
              <w:spacing w:before="46"/>
              <w:ind w:left="827" w:right="216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será inicialmente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(trinta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seis)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meses, podendo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prorrogada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artigo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8.666/93.</w:t>
            </w: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shape style="position:absolute;margin-left:84.425003pt;margin-top:14.000005pt;width:481.2pt;height:19.25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3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658" w:hRule="atLeast"/>
        </w:trPr>
        <w:tc>
          <w:tcPr>
            <w:tcW w:w="9603" w:type="dxa"/>
          </w:tcPr>
          <w:p>
            <w:pPr>
              <w:pStyle w:val="TableParagraph"/>
              <w:ind w:left="111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O objetivo deste documento é proporcionar um artefato que possa prever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acontecimento de eventuais riscos, que podem afetar a programação do projeto ou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 da documentação que estão sendo desenvolvidas. Este documento abordará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uma estratégia para identificar se o risco está ocorrendo, e possui estratégia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minimizar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contingência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isto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ocorrer.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172"/>
        <w:gridCol w:w="2553"/>
        <w:gridCol w:w="1689"/>
      </w:tblGrid>
      <w:tr>
        <w:trPr>
          <w:trHeight w:val="645" w:hRule="atLeast"/>
        </w:trPr>
        <w:tc>
          <w:tcPr>
            <w:tcW w:w="1744" w:type="dxa"/>
            <w:shd w:val="clear" w:color="auto" w:fill="E1EED9"/>
          </w:tcPr>
          <w:p>
            <w:pPr>
              <w:pStyle w:val="TableParagraph"/>
              <w:spacing w:before="177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6" w:type="dxa"/>
            <w:shd w:val="clear" w:color="auto" w:fill="E1EED9"/>
          </w:tcPr>
          <w:p>
            <w:pPr>
              <w:pStyle w:val="TableParagraph"/>
              <w:spacing w:before="177"/>
              <w:ind w:left="4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172" w:type="dxa"/>
            <w:shd w:val="clear" w:color="auto" w:fill="E1EED9"/>
          </w:tcPr>
          <w:p>
            <w:pPr>
              <w:pStyle w:val="TableParagraph"/>
              <w:spacing w:before="37"/>
              <w:ind w:left="1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553" w:type="dxa"/>
            <w:shd w:val="clear" w:color="auto" w:fill="E1EED9"/>
          </w:tcPr>
          <w:p>
            <w:pPr>
              <w:pStyle w:val="TableParagraph"/>
              <w:spacing w:before="37"/>
              <w:ind w:left="517" w:right="48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89" w:type="dxa"/>
            <w:shd w:val="clear" w:color="auto" w:fill="E1EED9"/>
          </w:tcPr>
          <w:p>
            <w:pPr>
              <w:pStyle w:val="TableParagraph"/>
              <w:spacing w:before="37"/>
              <w:ind w:left="809" w:right="119" w:hanging="6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379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5"/>
              <w:ind w:left="151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Pane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lógica em um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 vários dos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componentes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vídeo-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0"/>
              <w:ind w:left="200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Suporte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sistemas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67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especializados;</w:t>
            </w:r>
          </w:p>
        </w:tc>
        <w:tc>
          <w:tcPr>
            <w:tcW w:w="2553" w:type="dxa"/>
          </w:tcPr>
          <w:p>
            <w:pPr>
              <w:pStyle w:val="TableParagraph"/>
              <w:ind w:left="129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 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 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cumprido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prazo, aplicar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sanções previstas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172"/>
        <w:gridCol w:w="2553"/>
        <w:gridCol w:w="1689"/>
      </w:tblGrid>
      <w:tr>
        <w:trPr>
          <w:trHeight w:val="197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63"/>
              <w:ind w:left="115" w:right="114" w:firstLine="10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chamados;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6"/>
              <w:ind w:left="135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ferência</w:t>
            </w:r>
          </w:p>
        </w:tc>
        <w:tc>
          <w:tcPr>
            <w:tcW w:w="2172" w:type="dxa"/>
          </w:tcPr>
          <w:p>
            <w:pPr>
              <w:pStyle w:val="TableParagraph"/>
              <w:spacing w:before="186"/>
              <w:ind w:left="200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atendimento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29" w:right="113" w:firstLine="139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3114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231" w:right="225" w:firstLine="5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solução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27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usufruir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 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mesmo;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29" w:right="113" w:firstLine="139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84.425003pt;margin-top:18.600004pt;width:481.2pt;height:19.25pt;mso-position-horizontal-relative:page;mso-position-vertical-relative:paragraph;z-index:-1572710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370" w:hRule="atLeast"/>
        </w:trPr>
        <w:tc>
          <w:tcPr>
            <w:tcW w:w="9643" w:type="dxa"/>
            <w:shd w:val="clear" w:color="auto" w:fill="E1EED9"/>
          </w:tcPr>
          <w:p>
            <w:pPr>
              <w:pStyle w:val="TableParagraph"/>
              <w:spacing w:before="37"/>
              <w:ind w:left="4214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1802" w:hRule="atLeast"/>
        </w:trPr>
        <w:tc>
          <w:tcPr>
            <w:tcW w:w="9643" w:type="dxa"/>
          </w:tcPr>
          <w:p>
            <w:pPr>
              <w:pStyle w:val="TableParagraph"/>
              <w:spacing w:line="276" w:lineRule="auto" w:before="2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Após a realização dos Estudos Técnicos Preliminares para contratação de 75 (setenta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cinco) Licenças Enterprise das Ferramentas de Colaboração G-SUITE para atender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todas as unidades judiciais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  <w:p>
            <w:pPr>
              <w:pStyle w:val="TableParagraph"/>
              <w:spacing w:before="19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Opina-se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pelo:</w:t>
            </w:r>
          </w:p>
          <w:p>
            <w:pPr>
              <w:pStyle w:val="TableParagraph"/>
              <w:spacing w:before="48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)Prosseguimento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  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2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Arquivamento,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anexo.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4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42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42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4598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line="345" w:lineRule="auto"/>
              <w:ind w:left="3076" w:right="3067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Elson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Correia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Oliveira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Neto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Gerente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exercício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3" w:lineRule="auto"/>
              <w:ind w:left="2744" w:right="2728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Raimundo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Costa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Rodrigues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sz w:val="24"/>
              </w:rPr>
              <w:t>Diretor de Tecnologia da Informação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736" w:right="2728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9"/>
              <w:ind w:left="2737" w:right="2728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19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549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41"/>
              <w:ind w:left="2737" w:right="2728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9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38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737" w:right="3110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suite.google.com.br/intl/pt-BR/products/gmail/" TargetMode="External"/><Relationship Id="rId6" Type="http://schemas.openxmlformats.org/officeDocument/2006/relationships/hyperlink" Target="https://gsuite.google.com.br/intl/pt-BR/products/meet/" TargetMode="External"/><Relationship Id="rId7" Type="http://schemas.openxmlformats.org/officeDocument/2006/relationships/hyperlink" Target="https://gsuite.google.com.br/intl/pt-BR/products/chat/" TargetMode="External"/><Relationship Id="rId8" Type="http://schemas.openxmlformats.org/officeDocument/2006/relationships/hyperlink" Target="https://gsuite.google.com.br/intl/pt-BR/products/calendar/" TargetMode="External"/><Relationship Id="rId9" Type="http://schemas.openxmlformats.org/officeDocument/2006/relationships/hyperlink" Target="https://gsuite.google.com.br/intl/pt-BR/products/drive/" TargetMode="External"/><Relationship Id="rId10" Type="http://schemas.openxmlformats.org/officeDocument/2006/relationships/hyperlink" Target="https://gsuite.google.com.br/intl/pt-BR/products/docs/" TargetMode="External"/><Relationship Id="rId11" Type="http://schemas.openxmlformats.org/officeDocument/2006/relationships/hyperlink" Target="https://gsuite.google.com.br/intl/pt-BR/products/sheets/" TargetMode="External"/><Relationship Id="rId12" Type="http://schemas.openxmlformats.org/officeDocument/2006/relationships/hyperlink" Target="https://gsuite.google.com.br/intl/pt-BR/products/slides/" TargetMode="External"/><Relationship Id="rId13" Type="http://schemas.openxmlformats.org/officeDocument/2006/relationships/hyperlink" Target="https://gsuite.google.com.br/intl/pt-BR/products/forms/" TargetMode="External"/><Relationship Id="rId14" Type="http://schemas.openxmlformats.org/officeDocument/2006/relationships/hyperlink" Target="https://gsuite.google.com.br/intl/pt-BR/products/sites/" TargetMode="External"/><Relationship Id="rId15" Type="http://schemas.openxmlformats.org/officeDocument/2006/relationships/hyperlink" Target="https://gsuite.google.com.br/intl/pt-BR/products/keep/" TargetMode="External"/><Relationship Id="rId16" Type="http://schemas.openxmlformats.org/officeDocument/2006/relationships/hyperlink" Target="https://gsuite.google.com.br/intl/pt-BR/products/currents/" TargetMode="External"/><Relationship Id="rId17" Type="http://schemas.openxmlformats.org/officeDocument/2006/relationships/hyperlink" Target="https://gsuite.google.com.br/intl/pt-BR/products/apps-script/" TargetMode="External"/><Relationship Id="rId18" Type="http://schemas.openxmlformats.org/officeDocument/2006/relationships/hyperlink" Target="https://gsuite.google.com.br/intl/pt-BR/products/cloud-search/" TargetMode="External"/><Relationship Id="rId19" Type="http://schemas.openxmlformats.org/officeDocument/2006/relationships/hyperlink" Target="mailto:ditec@tjac.jus.br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2023-06-26T12:57:04Z</dcterms:created>
  <dcterms:modified xsi:type="dcterms:W3CDTF">2023-06-26T12:57:04Z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</Properties>
</file>