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AF8" w:rsidRDefault="00D62302">
      <w:pPr>
        <w:ind w:left="-1695" w:right="-1684"/>
        <w:jc w:val="left"/>
      </w:pPr>
      <w:r>
        <w:rPr>
          <w:noProof/>
        </w:rPr>
        <w:drawing>
          <wp:inline distT="114300" distB="114300" distL="114300" distR="114300">
            <wp:extent cx="7554413" cy="10706100"/>
            <wp:effectExtent l="0" t="0" r="0" b="0"/>
            <wp:docPr id="2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54413" cy="10706100"/>
                    </a:xfrm>
                    <a:prstGeom prst="rect">
                      <a:avLst/>
                    </a:prstGeom>
                    <a:ln/>
                  </pic:spPr>
                </pic:pic>
              </a:graphicData>
            </a:graphic>
          </wp:inline>
        </w:drawing>
      </w:r>
    </w:p>
    <w:p w:rsidR="004E4AF8" w:rsidRDefault="004E4AF8">
      <w:pPr>
        <w:rPr>
          <w:b/>
        </w:rPr>
      </w:pPr>
    </w:p>
    <w:p w:rsidR="004E4AF8" w:rsidRDefault="004E4AF8">
      <w:pPr>
        <w:spacing w:after="0" w:line="240" w:lineRule="auto"/>
        <w:jc w:val="right"/>
        <w:rPr>
          <w:b/>
        </w:rPr>
      </w:pPr>
    </w:p>
    <w:p w:rsidR="004E4AF8" w:rsidRDefault="00D62302">
      <w:pPr>
        <w:spacing w:after="0" w:line="240" w:lineRule="auto"/>
        <w:jc w:val="right"/>
        <w:rPr>
          <w:b/>
        </w:rPr>
      </w:pPr>
      <w:r>
        <w:rPr>
          <w:b/>
        </w:rPr>
        <w:t>PRESIDENTE</w:t>
      </w:r>
    </w:p>
    <w:p w:rsidR="004E4AF8" w:rsidRDefault="00D62302">
      <w:pPr>
        <w:spacing w:after="0" w:line="240" w:lineRule="auto"/>
        <w:jc w:val="right"/>
      </w:pPr>
      <w:r>
        <w:t>Desembargadora Regina Ferrari</w:t>
      </w:r>
    </w:p>
    <w:p w:rsidR="004E4AF8" w:rsidRDefault="004E4AF8">
      <w:pPr>
        <w:spacing w:after="0" w:line="240" w:lineRule="auto"/>
        <w:jc w:val="right"/>
      </w:pPr>
    </w:p>
    <w:p w:rsidR="004E4AF8" w:rsidRDefault="004E4AF8">
      <w:pPr>
        <w:spacing w:after="0" w:line="240" w:lineRule="auto"/>
        <w:jc w:val="right"/>
      </w:pPr>
    </w:p>
    <w:p w:rsidR="004E4AF8" w:rsidRDefault="00D62302">
      <w:pPr>
        <w:spacing w:after="0" w:line="240" w:lineRule="auto"/>
        <w:jc w:val="right"/>
        <w:rPr>
          <w:b/>
        </w:rPr>
      </w:pPr>
      <w:r>
        <w:rPr>
          <w:b/>
        </w:rPr>
        <w:t>VICE-PRESIDENTE</w:t>
      </w:r>
    </w:p>
    <w:p w:rsidR="004E4AF8" w:rsidRDefault="00D62302">
      <w:pPr>
        <w:spacing w:after="0" w:line="240" w:lineRule="auto"/>
        <w:jc w:val="right"/>
      </w:pPr>
      <w:r>
        <w:t>Desembargador Luís Camolez</w:t>
      </w:r>
    </w:p>
    <w:p w:rsidR="004E4AF8" w:rsidRDefault="004E4AF8">
      <w:pPr>
        <w:spacing w:after="0" w:line="240" w:lineRule="auto"/>
        <w:jc w:val="right"/>
      </w:pPr>
    </w:p>
    <w:p w:rsidR="004E4AF8" w:rsidRDefault="004E4AF8">
      <w:pPr>
        <w:spacing w:after="0" w:line="240" w:lineRule="auto"/>
        <w:jc w:val="right"/>
      </w:pPr>
    </w:p>
    <w:p w:rsidR="004E4AF8" w:rsidRDefault="00D62302">
      <w:pPr>
        <w:spacing w:after="0" w:line="240" w:lineRule="auto"/>
        <w:jc w:val="right"/>
        <w:rPr>
          <w:b/>
        </w:rPr>
      </w:pPr>
      <w:r>
        <w:rPr>
          <w:b/>
        </w:rPr>
        <w:t>CORREGEDOR GERAL DE JUSTIÇA</w:t>
      </w:r>
    </w:p>
    <w:p w:rsidR="004E4AF8" w:rsidRDefault="00D62302">
      <w:pPr>
        <w:spacing w:after="0" w:line="240" w:lineRule="auto"/>
        <w:jc w:val="right"/>
      </w:pPr>
      <w:r>
        <w:t>Desembargador Sam</w:t>
      </w:r>
      <w:r w:rsidR="007207B7">
        <w:t>o</w:t>
      </w:r>
      <w:r>
        <w:t>el Evangelista</w:t>
      </w:r>
    </w:p>
    <w:p w:rsidR="004E4AF8" w:rsidRDefault="004E4AF8">
      <w:pPr>
        <w:spacing w:after="0" w:line="240" w:lineRule="auto"/>
        <w:jc w:val="right"/>
      </w:pPr>
    </w:p>
    <w:p w:rsidR="004E4AF8" w:rsidRDefault="004E4AF8">
      <w:pPr>
        <w:spacing w:after="0" w:line="240" w:lineRule="auto"/>
        <w:jc w:val="right"/>
      </w:pPr>
    </w:p>
    <w:p w:rsidR="004E4AF8" w:rsidRDefault="00D62302">
      <w:pPr>
        <w:spacing w:after="0" w:line="240" w:lineRule="auto"/>
        <w:jc w:val="right"/>
        <w:rPr>
          <w:b/>
        </w:rPr>
      </w:pPr>
      <w:r>
        <w:rPr>
          <w:b/>
        </w:rPr>
        <w:t>DIRETOR DE TECNOLOGIA DA INFORMAÇÃO E COMUNICAÇÃO</w:t>
      </w:r>
    </w:p>
    <w:p w:rsidR="004E4AF8" w:rsidRDefault="00D62302">
      <w:pPr>
        <w:spacing w:after="0" w:line="240" w:lineRule="auto"/>
        <w:jc w:val="right"/>
      </w:pPr>
      <w:r>
        <w:t>José Carlos Martins Júnior</w:t>
      </w:r>
    </w:p>
    <w:p w:rsidR="004E4AF8" w:rsidRDefault="004E4AF8"/>
    <w:p w:rsidR="004E4AF8" w:rsidRDefault="00D62302">
      <w:r>
        <w:br w:type="page"/>
      </w:r>
    </w:p>
    <w:p w:rsidR="004E4AF8" w:rsidRDefault="00D62302">
      <w:pPr>
        <w:keepNext/>
        <w:keepLines/>
        <w:pBdr>
          <w:top w:val="nil"/>
          <w:left w:val="nil"/>
          <w:bottom w:val="nil"/>
          <w:right w:val="nil"/>
          <w:between w:val="nil"/>
        </w:pBdr>
        <w:spacing w:before="240" w:after="0" w:line="240" w:lineRule="auto"/>
        <w:ind w:left="360" w:hanging="360"/>
        <w:jc w:val="left"/>
        <w:rPr>
          <w:rFonts w:ascii="Calibri" w:eastAsia="Calibri" w:hAnsi="Calibri" w:cs="Calibri"/>
          <w:b/>
          <w:color w:val="0B5394"/>
          <w:sz w:val="28"/>
          <w:szCs w:val="28"/>
        </w:rPr>
      </w:pPr>
      <w:r>
        <w:rPr>
          <w:rFonts w:ascii="Calibri" w:eastAsia="Calibri" w:hAnsi="Calibri" w:cs="Calibri"/>
          <w:b/>
          <w:color w:val="0B5394"/>
          <w:sz w:val="28"/>
          <w:szCs w:val="28"/>
        </w:rPr>
        <w:lastRenderedPageBreak/>
        <w:t>Índice de Sumário</w:t>
      </w:r>
    </w:p>
    <w:sdt>
      <w:sdtPr>
        <w:id w:val="-1329360963"/>
        <w:docPartObj>
          <w:docPartGallery w:val="Table of Contents"/>
          <w:docPartUnique/>
        </w:docPartObj>
      </w:sdtPr>
      <w:sdtEndPr/>
      <w:sdtContent>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r>
            <w:fldChar w:fldCharType="begin"/>
          </w:r>
          <w:r>
            <w:instrText xml:space="preserve"> TOC \h \u \z \t "Heading 1,1,Heading 2,2,Heading 3,3,Heading 6,6,"</w:instrText>
          </w:r>
          <w:r>
            <w:fldChar w:fldCharType="separate"/>
          </w:r>
          <w:hyperlink w:anchor="_heading=h.gjdgxs">
            <w:r>
              <w:rPr>
                <w:rFonts w:ascii="Arial" w:eastAsia="Arial" w:hAnsi="Arial" w:cs="Arial"/>
                <w:b/>
                <w:color w:val="000000"/>
                <w:sz w:val="22"/>
                <w:szCs w:val="22"/>
              </w:rPr>
              <w:t>1. Apresentação</w:t>
            </w:r>
            <w:r>
              <w:rPr>
                <w:rFonts w:ascii="Arial" w:eastAsia="Arial" w:hAnsi="Arial" w:cs="Arial"/>
                <w:b/>
                <w:color w:val="000000"/>
                <w:sz w:val="22"/>
                <w:szCs w:val="22"/>
              </w:rPr>
              <w:tab/>
              <w:t>4</w:t>
            </w:r>
          </w:hyperlink>
        </w:p>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hyperlink w:anchor="_heading=h.30j0zll">
            <w:r>
              <w:rPr>
                <w:rFonts w:ascii="Arial" w:eastAsia="Arial" w:hAnsi="Arial" w:cs="Arial"/>
                <w:b/>
                <w:color w:val="000000"/>
                <w:sz w:val="22"/>
                <w:szCs w:val="22"/>
              </w:rPr>
              <w:t>2. Processo de Contratação</w:t>
            </w:r>
            <w:r>
              <w:rPr>
                <w:rFonts w:ascii="Arial" w:eastAsia="Arial" w:hAnsi="Arial" w:cs="Arial"/>
                <w:b/>
                <w:color w:val="000000"/>
                <w:sz w:val="22"/>
                <w:szCs w:val="22"/>
              </w:rPr>
              <w:tab/>
              <w:t>4</w:t>
            </w:r>
          </w:hyperlink>
        </w:p>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hyperlink w:anchor="_heading=h.41mghml">
            <w:r>
              <w:rPr>
                <w:rFonts w:ascii="Arial" w:eastAsia="Arial" w:hAnsi="Arial" w:cs="Arial"/>
                <w:b/>
                <w:color w:val="000000"/>
                <w:sz w:val="22"/>
                <w:szCs w:val="22"/>
              </w:rPr>
              <w:t>3. Alinhamento Estra</w:t>
            </w:r>
            <w:r>
              <w:rPr>
                <w:rFonts w:ascii="Arial" w:eastAsia="Arial" w:hAnsi="Arial" w:cs="Arial"/>
                <w:b/>
                <w:color w:val="000000"/>
                <w:sz w:val="22"/>
                <w:szCs w:val="22"/>
              </w:rPr>
              <w:t>tégico</w:t>
            </w:r>
            <w:r>
              <w:rPr>
                <w:rFonts w:ascii="Arial" w:eastAsia="Arial" w:hAnsi="Arial" w:cs="Arial"/>
                <w:b/>
                <w:color w:val="000000"/>
                <w:sz w:val="22"/>
                <w:szCs w:val="22"/>
              </w:rPr>
              <w:tab/>
              <w:t>5</w:t>
            </w:r>
          </w:hyperlink>
        </w:p>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hyperlink w:anchor="_heading=h.3znysh7">
            <w:r>
              <w:rPr>
                <w:rFonts w:ascii="Arial" w:eastAsia="Arial" w:hAnsi="Arial" w:cs="Arial"/>
                <w:b/>
                <w:color w:val="000000"/>
                <w:sz w:val="22"/>
                <w:szCs w:val="22"/>
              </w:rPr>
              <w:t>4. Plano de Contratações de STIC – Exercício 2024</w:t>
            </w:r>
            <w:r>
              <w:rPr>
                <w:rFonts w:ascii="Arial" w:eastAsia="Arial" w:hAnsi="Arial" w:cs="Arial"/>
                <w:b/>
                <w:color w:val="000000"/>
                <w:sz w:val="22"/>
                <w:szCs w:val="22"/>
              </w:rPr>
              <w:tab/>
              <w:t>6</w:t>
            </w:r>
          </w:hyperlink>
        </w:p>
        <w:p w:rsidR="004E4AF8" w:rsidRDefault="00D62302">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2et92p0">
            <w:r>
              <w:rPr>
                <w:rFonts w:ascii="Arial" w:eastAsia="Arial" w:hAnsi="Arial" w:cs="Arial"/>
                <w:color w:val="000000"/>
                <w:sz w:val="22"/>
                <w:szCs w:val="22"/>
              </w:rPr>
              <w:t>4.1. Ações de Custeio/Manutenção</w:t>
            </w:r>
            <w:r>
              <w:rPr>
                <w:rFonts w:ascii="Arial" w:eastAsia="Arial" w:hAnsi="Arial" w:cs="Arial"/>
                <w:color w:val="000000"/>
                <w:sz w:val="22"/>
                <w:szCs w:val="22"/>
              </w:rPr>
              <w:tab/>
              <w:t>6</w:t>
            </w:r>
          </w:hyperlink>
        </w:p>
        <w:p w:rsidR="004E4AF8" w:rsidRDefault="00D62302">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3dy6vkm">
            <w:r>
              <w:rPr>
                <w:rFonts w:ascii="Arial" w:eastAsia="Arial" w:hAnsi="Arial" w:cs="Arial"/>
                <w:color w:val="000000"/>
                <w:sz w:val="22"/>
                <w:szCs w:val="22"/>
              </w:rPr>
              <w:t>4.2. Ações de Investimentos</w:t>
            </w:r>
            <w:r>
              <w:rPr>
                <w:rFonts w:ascii="Arial" w:eastAsia="Arial" w:hAnsi="Arial" w:cs="Arial"/>
                <w:color w:val="000000"/>
                <w:sz w:val="22"/>
                <w:szCs w:val="22"/>
              </w:rPr>
              <w:tab/>
              <w:t>25</w:t>
            </w:r>
          </w:hyperlink>
        </w:p>
        <w:p w:rsidR="004E4AF8" w:rsidRDefault="00D62302">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17dp8vu">
            <w:r>
              <w:rPr>
                <w:rFonts w:ascii="Arial" w:eastAsia="Arial" w:hAnsi="Arial" w:cs="Arial"/>
                <w:color w:val="000000"/>
                <w:sz w:val="22"/>
                <w:szCs w:val="22"/>
              </w:rPr>
              <w:t>4.3. Bens e Serviços em Garantia</w:t>
            </w:r>
            <w:r>
              <w:rPr>
                <w:rFonts w:ascii="Arial" w:eastAsia="Arial" w:hAnsi="Arial" w:cs="Arial"/>
                <w:color w:val="000000"/>
                <w:sz w:val="22"/>
                <w:szCs w:val="22"/>
              </w:rPr>
              <w:tab/>
              <w:t>54</w:t>
            </w:r>
          </w:hyperlink>
        </w:p>
        <w:p w:rsidR="004E4AF8" w:rsidRDefault="00D62302">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26in1rg">
            <w:r>
              <w:rPr>
                <w:rFonts w:ascii="Arial" w:eastAsia="Arial" w:hAnsi="Arial" w:cs="Arial"/>
                <w:color w:val="000000"/>
                <w:sz w:val="22"/>
                <w:szCs w:val="22"/>
              </w:rPr>
              <w:t>4.4. Ações de Capacitação</w:t>
            </w:r>
            <w:r>
              <w:rPr>
                <w:rFonts w:ascii="Arial" w:eastAsia="Arial" w:hAnsi="Arial" w:cs="Arial"/>
                <w:color w:val="000000"/>
                <w:sz w:val="22"/>
                <w:szCs w:val="22"/>
              </w:rPr>
              <w:tab/>
              <w:t>69</w:t>
            </w:r>
          </w:hyperlink>
        </w:p>
        <w:p w:rsidR="004E4AF8" w:rsidRDefault="00D62302">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lnxbz9">
            <w:r>
              <w:rPr>
                <w:rFonts w:ascii="Arial" w:eastAsia="Arial" w:hAnsi="Arial" w:cs="Arial"/>
                <w:color w:val="000000"/>
                <w:sz w:val="22"/>
                <w:szCs w:val="22"/>
              </w:rPr>
              <w:t>4.4.1. Gerência de Segurança da Informação</w:t>
            </w:r>
            <w:r>
              <w:rPr>
                <w:rFonts w:ascii="Arial" w:eastAsia="Arial" w:hAnsi="Arial" w:cs="Arial"/>
                <w:color w:val="000000"/>
                <w:sz w:val="22"/>
                <w:szCs w:val="22"/>
              </w:rPr>
              <w:tab/>
              <w:t>70</w:t>
            </w:r>
          </w:hyperlink>
        </w:p>
        <w:p w:rsidR="004E4AF8" w:rsidRDefault="00D62302">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1ksv4uv">
            <w:r>
              <w:rPr>
                <w:rFonts w:ascii="Arial" w:eastAsia="Arial" w:hAnsi="Arial" w:cs="Arial"/>
                <w:color w:val="000000"/>
                <w:sz w:val="22"/>
                <w:szCs w:val="22"/>
              </w:rPr>
              <w:t>4.4.2. Gerência de Sistemas</w:t>
            </w:r>
            <w:r>
              <w:rPr>
                <w:rFonts w:ascii="Arial" w:eastAsia="Arial" w:hAnsi="Arial" w:cs="Arial"/>
                <w:color w:val="000000"/>
                <w:sz w:val="22"/>
                <w:szCs w:val="22"/>
              </w:rPr>
              <w:tab/>
              <w:t>77</w:t>
            </w:r>
          </w:hyperlink>
        </w:p>
        <w:p w:rsidR="004E4AF8" w:rsidRDefault="00D62302">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2jxsxqh">
            <w:r>
              <w:rPr>
                <w:rFonts w:ascii="Arial" w:eastAsia="Arial" w:hAnsi="Arial" w:cs="Arial"/>
                <w:color w:val="000000"/>
                <w:sz w:val="22"/>
                <w:szCs w:val="22"/>
              </w:rPr>
              <w:t>4.4.3. Gerência de Serviços de TI</w:t>
            </w:r>
            <w:r>
              <w:rPr>
                <w:rFonts w:ascii="Arial" w:eastAsia="Arial" w:hAnsi="Arial" w:cs="Arial"/>
                <w:color w:val="000000"/>
                <w:sz w:val="22"/>
                <w:szCs w:val="22"/>
              </w:rPr>
              <w:tab/>
              <w:t>86</w:t>
            </w:r>
          </w:hyperlink>
        </w:p>
        <w:p w:rsidR="004E4AF8" w:rsidRDefault="00D62302">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3j2qqm3">
            <w:r>
              <w:rPr>
                <w:rFonts w:ascii="Arial" w:eastAsia="Arial" w:hAnsi="Arial" w:cs="Arial"/>
                <w:color w:val="000000"/>
                <w:sz w:val="22"/>
                <w:szCs w:val="22"/>
              </w:rPr>
              <w:t>4.4.4. DITEC (Governança)</w:t>
            </w:r>
            <w:r>
              <w:rPr>
                <w:rFonts w:ascii="Arial" w:eastAsia="Arial" w:hAnsi="Arial" w:cs="Arial"/>
                <w:color w:val="000000"/>
                <w:sz w:val="22"/>
                <w:szCs w:val="22"/>
              </w:rPr>
              <w:tab/>
              <w:t>92</w:t>
            </w:r>
          </w:hyperlink>
        </w:p>
        <w:p w:rsidR="004E4AF8" w:rsidRDefault="00D62302">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4i7ojhp">
            <w:r>
              <w:rPr>
                <w:rFonts w:ascii="Arial" w:eastAsia="Arial" w:hAnsi="Arial" w:cs="Arial"/>
                <w:color w:val="000000"/>
                <w:sz w:val="22"/>
                <w:szCs w:val="22"/>
              </w:rPr>
              <w:t>4.4.5. Todas as unid</w:t>
            </w:r>
            <w:r>
              <w:rPr>
                <w:rFonts w:ascii="Arial" w:eastAsia="Arial" w:hAnsi="Arial" w:cs="Arial"/>
                <w:color w:val="000000"/>
                <w:sz w:val="22"/>
                <w:szCs w:val="22"/>
              </w:rPr>
              <w:t>ades da DITEC</w:t>
            </w:r>
            <w:r>
              <w:rPr>
                <w:rFonts w:ascii="Arial" w:eastAsia="Arial" w:hAnsi="Arial" w:cs="Arial"/>
                <w:color w:val="000000"/>
                <w:sz w:val="22"/>
                <w:szCs w:val="22"/>
              </w:rPr>
              <w:tab/>
              <w:t>102</w:t>
            </w:r>
          </w:hyperlink>
        </w:p>
        <w:p w:rsidR="004E4AF8" w:rsidRDefault="00D62302">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2xcytpi">
            <w:r>
              <w:rPr>
                <w:rFonts w:ascii="Arial" w:eastAsia="Arial" w:hAnsi="Arial" w:cs="Arial"/>
                <w:color w:val="000000"/>
                <w:sz w:val="22"/>
                <w:szCs w:val="22"/>
              </w:rPr>
              <w:t>4.5. Tabela de prioridades</w:t>
            </w:r>
            <w:r>
              <w:rPr>
                <w:rFonts w:ascii="Arial" w:eastAsia="Arial" w:hAnsi="Arial" w:cs="Arial"/>
                <w:color w:val="000000"/>
                <w:sz w:val="22"/>
                <w:szCs w:val="22"/>
              </w:rPr>
              <w:tab/>
              <w:t>103</w:t>
            </w:r>
          </w:hyperlink>
        </w:p>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hyperlink w:anchor="_heading=h.3ygebqi">
            <w:r>
              <w:rPr>
                <w:rFonts w:ascii="Arial" w:eastAsia="Arial" w:hAnsi="Arial" w:cs="Arial"/>
                <w:b/>
                <w:color w:val="000000"/>
                <w:sz w:val="22"/>
                <w:szCs w:val="22"/>
              </w:rPr>
              <w:t>5. Conclusão</w:t>
            </w:r>
            <w:r>
              <w:rPr>
                <w:rFonts w:ascii="Arial" w:eastAsia="Arial" w:hAnsi="Arial" w:cs="Arial"/>
                <w:b/>
                <w:color w:val="000000"/>
                <w:sz w:val="22"/>
                <w:szCs w:val="22"/>
              </w:rPr>
              <w:tab/>
              <w:t>103</w:t>
            </w:r>
          </w:hyperlink>
        </w:p>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hyperlink w:anchor="_heading=h.3whwml4">
            <w:r>
              <w:rPr>
                <w:rFonts w:ascii="Arial" w:eastAsia="Arial" w:hAnsi="Arial" w:cs="Arial"/>
                <w:b/>
                <w:color w:val="000000"/>
                <w:sz w:val="22"/>
                <w:szCs w:val="22"/>
              </w:rPr>
              <w:t>6. Anexos</w:t>
            </w:r>
            <w:r>
              <w:rPr>
                <w:rFonts w:ascii="Arial" w:eastAsia="Arial" w:hAnsi="Arial" w:cs="Arial"/>
                <w:b/>
                <w:color w:val="000000"/>
                <w:sz w:val="22"/>
                <w:szCs w:val="22"/>
              </w:rPr>
              <w:tab/>
              <w:t>104</w:t>
            </w:r>
          </w:hyperlink>
        </w:p>
        <w:p w:rsidR="004E4AF8" w:rsidRDefault="00D62302">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2bn6wsx">
            <w:r>
              <w:rPr>
                <w:rFonts w:ascii="Arial" w:eastAsia="Arial" w:hAnsi="Arial" w:cs="Arial"/>
                <w:color w:val="000000"/>
                <w:sz w:val="22"/>
                <w:szCs w:val="22"/>
              </w:rPr>
              <w:t>6.1. Check-list para contratação de soluções de TIC</w:t>
            </w:r>
            <w:r>
              <w:rPr>
                <w:rFonts w:ascii="Arial" w:eastAsia="Arial" w:hAnsi="Arial" w:cs="Arial"/>
                <w:color w:val="000000"/>
                <w:sz w:val="22"/>
                <w:szCs w:val="22"/>
              </w:rPr>
              <w:tab/>
              <w:t>104</w:t>
            </w:r>
          </w:hyperlink>
        </w:p>
        <w:p w:rsidR="004E4AF8" w:rsidRDefault="00D62302">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qsh70q">
            <w:r>
              <w:rPr>
                <w:rFonts w:ascii="Arial" w:eastAsia="Arial" w:hAnsi="Arial" w:cs="Arial"/>
                <w:color w:val="000000"/>
                <w:sz w:val="22"/>
                <w:szCs w:val="22"/>
              </w:rPr>
              <w:t>6.2. Plano anual de contratação de soluções de TIC</w:t>
            </w:r>
            <w:r>
              <w:rPr>
                <w:rFonts w:ascii="Arial" w:eastAsia="Arial" w:hAnsi="Arial" w:cs="Arial"/>
                <w:color w:val="000000"/>
                <w:sz w:val="22"/>
                <w:szCs w:val="22"/>
              </w:rPr>
              <w:tab/>
              <w:t>109</w:t>
            </w:r>
          </w:hyperlink>
        </w:p>
        <w:p w:rsidR="004E4AF8" w:rsidRDefault="00D62302">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1pxezwc">
            <w:r>
              <w:rPr>
                <w:rFonts w:ascii="Arial" w:eastAsia="Arial" w:hAnsi="Arial" w:cs="Arial"/>
                <w:color w:val="000000"/>
                <w:sz w:val="22"/>
                <w:szCs w:val="22"/>
              </w:rPr>
              <w:t>6.3. Estudo Técnico Preliminar – ETP</w:t>
            </w:r>
            <w:r>
              <w:rPr>
                <w:rFonts w:ascii="Arial" w:eastAsia="Arial" w:hAnsi="Arial" w:cs="Arial"/>
                <w:color w:val="000000"/>
                <w:sz w:val="22"/>
                <w:szCs w:val="22"/>
              </w:rPr>
              <w:tab/>
              <w:t>118</w:t>
            </w:r>
          </w:hyperlink>
        </w:p>
        <w:p w:rsidR="004E4AF8" w:rsidRDefault="00D62302">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49x2ik5">
            <w:r>
              <w:rPr>
                <w:rFonts w:ascii="Arial" w:eastAsia="Arial" w:hAnsi="Arial" w:cs="Arial"/>
                <w:color w:val="000000"/>
                <w:sz w:val="22"/>
                <w:szCs w:val="22"/>
              </w:rPr>
              <w:t>6.4. Mapa de Gerenciamento de Riscos</w:t>
            </w:r>
            <w:r>
              <w:rPr>
                <w:rFonts w:ascii="Arial" w:eastAsia="Arial" w:hAnsi="Arial" w:cs="Arial"/>
                <w:color w:val="000000"/>
                <w:sz w:val="22"/>
                <w:szCs w:val="22"/>
              </w:rPr>
              <w:tab/>
              <w:t>130</w:t>
            </w:r>
          </w:hyperlink>
        </w:p>
        <w:p w:rsidR="004E4AF8" w:rsidRDefault="00D62302">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2p2csry">
            <w:r>
              <w:rPr>
                <w:rFonts w:ascii="Arial" w:eastAsia="Arial" w:hAnsi="Arial" w:cs="Arial"/>
                <w:color w:val="000000"/>
                <w:sz w:val="22"/>
                <w:szCs w:val="22"/>
              </w:rPr>
              <w:t>6.5. Modelo de Execução do Contrato</w:t>
            </w:r>
            <w:r>
              <w:rPr>
                <w:rFonts w:ascii="Arial" w:eastAsia="Arial" w:hAnsi="Arial" w:cs="Arial"/>
                <w:color w:val="000000"/>
                <w:sz w:val="22"/>
                <w:szCs w:val="22"/>
              </w:rPr>
              <w:tab/>
              <w:t>137</w:t>
            </w:r>
          </w:hyperlink>
        </w:p>
        <w:p w:rsidR="004E4AF8" w:rsidRDefault="00D62302">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147n2zr">
            <w:r>
              <w:rPr>
                <w:rFonts w:ascii="Arial" w:eastAsia="Arial" w:hAnsi="Arial" w:cs="Arial"/>
                <w:color w:val="000000"/>
                <w:sz w:val="22"/>
                <w:szCs w:val="22"/>
              </w:rPr>
              <w:t>6.6. Modelo de Gestão do Contrato</w:t>
            </w:r>
            <w:r>
              <w:rPr>
                <w:rFonts w:ascii="Arial" w:eastAsia="Arial" w:hAnsi="Arial" w:cs="Arial"/>
                <w:color w:val="000000"/>
                <w:sz w:val="22"/>
                <w:szCs w:val="22"/>
              </w:rPr>
              <w:tab/>
              <w:t>139</w:t>
            </w:r>
          </w:hyperlink>
        </w:p>
        <w:p w:rsidR="004E4AF8" w:rsidRDefault="00D62302">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3o7alnk">
            <w:r>
              <w:rPr>
                <w:rFonts w:ascii="Arial" w:eastAsia="Arial" w:hAnsi="Arial" w:cs="Arial"/>
                <w:color w:val="000000"/>
                <w:sz w:val="22"/>
                <w:szCs w:val="22"/>
              </w:rPr>
              <w:t>6.7. Plano de Sustentação e Transição Contratual</w:t>
            </w:r>
            <w:r>
              <w:rPr>
                <w:rFonts w:ascii="Arial" w:eastAsia="Arial" w:hAnsi="Arial" w:cs="Arial"/>
                <w:color w:val="000000"/>
                <w:sz w:val="22"/>
                <w:szCs w:val="22"/>
              </w:rPr>
              <w:tab/>
              <w:t>142</w:t>
            </w:r>
          </w:hyperlink>
          <w:r>
            <w:fldChar w:fldCharType="end"/>
          </w:r>
        </w:p>
      </w:sdtContent>
    </w:sdt>
    <w:p w:rsidR="004E4AF8" w:rsidRDefault="004E4AF8">
      <w:bookmarkStart w:id="0" w:name="_heading=h.1t3h5sf" w:colFirst="0" w:colLast="0"/>
      <w:bookmarkEnd w:id="0"/>
    </w:p>
    <w:p w:rsidR="004E4AF8" w:rsidRDefault="00D62302">
      <w:pPr>
        <w:keepNext/>
        <w:keepLines/>
        <w:pBdr>
          <w:top w:val="nil"/>
          <w:left w:val="nil"/>
          <w:bottom w:val="nil"/>
          <w:right w:val="nil"/>
          <w:between w:val="nil"/>
        </w:pBdr>
        <w:spacing w:before="240" w:after="0" w:line="240" w:lineRule="auto"/>
        <w:ind w:left="360" w:hanging="360"/>
        <w:jc w:val="left"/>
        <w:rPr>
          <w:rFonts w:ascii="Calibri" w:eastAsia="Calibri" w:hAnsi="Calibri" w:cs="Calibri"/>
          <w:b/>
          <w:color w:val="0B5394"/>
          <w:sz w:val="28"/>
          <w:szCs w:val="28"/>
        </w:rPr>
      </w:pPr>
      <w:r>
        <w:rPr>
          <w:rFonts w:ascii="Calibri" w:eastAsia="Calibri" w:hAnsi="Calibri" w:cs="Calibri"/>
          <w:b/>
          <w:color w:val="0B5394"/>
          <w:sz w:val="28"/>
          <w:szCs w:val="28"/>
        </w:rPr>
        <w:t>Índice de Tabelas</w:t>
      </w:r>
    </w:p>
    <w:sdt>
      <w:sdtPr>
        <w:id w:val="-1264687723"/>
        <w:docPartObj>
          <w:docPartGallery w:val="Table of Contents"/>
          <w:docPartUnique/>
        </w:docPartObj>
      </w:sdtPr>
      <w:sdtEndPr/>
      <w:sdtContent>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r>
            <w:fldChar w:fldCharType="begin"/>
          </w:r>
          <w:r>
            <w:instrText xml:space="preserve"> TOC \h \u \z \t "Heading 5,1,Heading 6,6,"</w:instrText>
          </w:r>
          <w:r>
            <w:fldChar w:fldCharType="separate"/>
          </w:r>
          <w:hyperlink w:anchor="_heading=h.tyjcwt">
            <w:r>
              <w:rPr>
                <w:color w:val="000000"/>
              </w:rPr>
              <w:t>Tabela 1 - Ações de Custeio/Manutenção</w:t>
            </w:r>
            <w:r>
              <w:rPr>
                <w:color w:val="000000"/>
              </w:rPr>
              <w:tab/>
              <w:t>24</w:t>
            </w:r>
          </w:hyperlink>
        </w:p>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hyperlink w:anchor="_heading=h.2s8eyo1">
            <w:r>
              <w:rPr>
                <w:color w:val="000000"/>
              </w:rPr>
              <w:t>Tabela 2 - Ações de Investimentos</w:t>
            </w:r>
            <w:r>
              <w:rPr>
                <w:color w:val="000000"/>
              </w:rPr>
              <w:tab/>
              <w:t>53</w:t>
            </w:r>
          </w:hyperlink>
        </w:p>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hyperlink w:anchor="_heading=h.3rdcrjn">
            <w:r>
              <w:rPr>
                <w:color w:val="000000"/>
              </w:rPr>
              <w:t>Tabela 3 - Bens e Serviços em Garantia</w:t>
            </w:r>
            <w:r>
              <w:rPr>
                <w:color w:val="000000"/>
              </w:rPr>
              <w:tab/>
              <w:t>69</w:t>
            </w:r>
          </w:hyperlink>
        </w:p>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hyperlink w:anchor="_heading=h.35nkun2">
            <w:r>
              <w:rPr>
                <w:color w:val="000000"/>
              </w:rPr>
              <w:t>Tabela 4 - Ações de Capacitação/Gerência de Segurança da Informação</w:t>
            </w:r>
            <w:r>
              <w:rPr>
                <w:color w:val="000000"/>
              </w:rPr>
              <w:tab/>
              <w:t>77</w:t>
            </w:r>
          </w:hyperlink>
        </w:p>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hyperlink w:anchor="_heading=h.44sinio">
            <w:r>
              <w:rPr>
                <w:color w:val="000000"/>
              </w:rPr>
              <w:t>Tabela 5 - Ações de Capacitação/Gerência de Sistemas</w:t>
            </w:r>
            <w:r>
              <w:rPr>
                <w:color w:val="000000"/>
              </w:rPr>
              <w:tab/>
              <w:t>86</w:t>
            </w:r>
          </w:hyperlink>
        </w:p>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hyperlink w:anchor="_heading=h.z337ya">
            <w:r>
              <w:rPr>
                <w:color w:val="000000"/>
              </w:rPr>
              <w:t>Tabela 6 - Ações de Capacitação/Gerência de Serviços de TI</w:t>
            </w:r>
            <w:r>
              <w:rPr>
                <w:color w:val="000000"/>
              </w:rPr>
              <w:tab/>
              <w:t>92</w:t>
            </w:r>
          </w:hyperlink>
        </w:p>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hyperlink w:anchor="_heading=h.1y810tw">
            <w:r>
              <w:rPr>
                <w:color w:val="000000"/>
              </w:rPr>
              <w:t>Tabela 7 - Ações de Capacitação/ DITEC (Governança)</w:t>
            </w:r>
            <w:r>
              <w:rPr>
                <w:color w:val="000000"/>
              </w:rPr>
              <w:tab/>
              <w:t>102</w:t>
            </w:r>
          </w:hyperlink>
        </w:p>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hyperlink w:anchor="_heading=h.z6hmpz37uuad">
            <w:r>
              <w:rPr>
                <w:color w:val="000000"/>
              </w:rPr>
              <w:t>Tabela 8 - Ações de Capacitação/Todas as unidades da DITEC</w:t>
            </w:r>
            <w:r>
              <w:rPr>
                <w:color w:val="000000"/>
              </w:rPr>
              <w:tab/>
              <w:t>102</w:t>
            </w:r>
          </w:hyperlink>
          <w:r>
            <w:fldChar w:fldCharType="end"/>
          </w:r>
        </w:p>
      </w:sdtContent>
    </w:sdt>
    <w:p w:rsidR="004E4AF8" w:rsidRDefault="00D62302">
      <w:pPr>
        <w:keepNext/>
        <w:keepLines/>
        <w:pBdr>
          <w:top w:val="nil"/>
          <w:left w:val="nil"/>
          <w:bottom w:val="nil"/>
          <w:right w:val="nil"/>
          <w:between w:val="nil"/>
        </w:pBdr>
        <w:spacing w:before="240" w:after="0" w:line="240" w:lineRule="auto"/>
        <w:ind w:left="360" w:hanging="360"/>
        <w:jc w:val="left"/>
        <w:rPr>
          <w:rFonts w:ascii="Calibri" w:eastAsia="Calibri" w:hAnsi="Calibri" w:cs="Calibri"/>
          <w:b/>
          <w:color w:val="0B5394"/>
          <w:sz w:val="28"/>
          <w:szCs w:val="28"/>
        </w:rPr>
      </w:pPr>
      <w:r>
        <w:rPr>
          <w:rFonts w:ascii="Calibri" w:eastAsia="Calibri" w:hAnsi="Calibri" w:cs="Calibri"/>
          <w:b/>
          <w:color w:val="0B5394"/>
          <w:sz w:val="28"/>
          <w:szCs w:val="28"/>
        </w:rPr>
        <w:t>Índice de Figuras</w:t>
      </w:r>
    </w:p>
    <w:sdt>
      <w:sdtPr>
        <w:id w:val="1322237828"/>
        <w:docPartObj>
          <w:docPartGallery w:val="Table of Contents"/>
          <w:docPartUnique/>
        </w:docPartObj>
      </w:sdtPr>
      <w:sdtEndPr/>
      <w:sdtContent>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r>
            <w:fldChar w:fldCharType="begin"/>
          </w:r>
          <w:r>
            <w:instrText xml:space="preserve"> TOC \h \u \z \t "Heading 4,1,Heading 6,6,"</w:instrText>
          </w:r>
          <w:r>
            <w:fldChar w:fldCharType="separate"/>
          </w:r>
          <w:hyperlink w:anchor="_heading=h.1fob9te">
            <w:r>
              <w:rPr>
                <w:color w:val="000000"/>
              </w:rPr>
              <w:t>Figura 1 - Macroprocesso PSTIC</w:t>
            </w:r>
            <w:r>
              <w:rPr>
                <w:color w:val="000000"/>
              </w:rPr>
              <w:tab/>
              <w:t>5</w:t>
            </w:r>
          </w:hyperlink>
        </w:p>
        <w:p w:rsidR="004E4AF8" w:rsidRDefault="00D62302">
          <w:pPr>
            <w:widowControl w:val="0"/>
            <w:tabs>
              <w:tab w:val="right" w:pos="12000"/>
            </w:tabs>
            <w:spacing w:before="60" w:after="0" w:line="240" w:lineRule="auto"/>
            <w:jc w:val="left"/>
            <w:rPr>
              <w:rFonts w:ascii="Arial" w:eastAsia="Arial" w:hAnsi="Arial" w:cs="Arial"/>
              <w:b/>
              <w:color w:val="000000"/>
              <w:sz w:val="22"/>
              <w:szCs w:val="22"/>
            </w:rPr>
          </w:pPr>
          <w:hyperlink w:anchor="_heading=h.1ci93xb">
            <w:r>
              <w:rPr>
                <w:color w:val="000000"/>
              </w:rPr>
              <w:t>Figura 2 - Grau de Prioridades</w:t>
            </w:r>
            <w:r>
              <w:rPr>
                <w:color w:val="000000"/>
              </w:rPr>
              <w:tab/>
              <w:t>103</w:t>
            </w:r>
          </w:hyperlink>
          <w:r>
            <w:fldChar w:fldCharType="end"/>
          </w:r>
        </w:p>
      </w:sdtContent>
    </w:sdt>
    <w:p w:rsidR="004E4AF8" w:rsidRDefault="004E4AF8">
      <w:pPr>
        <w:keepNext/>
        <w:keepLines/>
        <w:pBdr>
          <w:top w:val="nil"/>
          <w:left w:val="nil"/>
          <w:bottom w:val="nil"/>
          <w:right w:val="nil"/>
          <w:between w:val="nil"/>
        </w:pBdr>
        <w:spacing w:after="0"/>
        <w:ind w:left="720" w:hanging="360"/>
        <w:jc w:val="left"/>
        <w:rPr>
          <w:rFonts w:ascii="Calibri" w:eastAsia="Calibri" w:hAnsi="Calibri" w:cs="Calibri"/>
          <w:color w:val="0B5394"/>
          <w:sz w:val="32"/>
          <w:szCs w:val="32"/>
        </w:rPr>
        <w:sectPr w:rsidR="004E4AF8">
          <w:headerReference w:type="default" r:id="rId9"/>
          <w:footerReference w:type="first" r:id="rId10"/>
          <w:pgSz w:w="11906" w:h="16838"/>
          <w:pgMar w:top="0" w:right="1701" w:bottom="1417" w:left="1700" w:header="708" w:footer="708" w:gutter="0"/>
          <w:pgNumType w:start="0"/>
          <w:cols w:space="720"/>
          <w:titlePg/>
        </w:sectPr>
      </w:pPr>
    </w:p>
    <w:p w:rsidR="004E4AF8" w:rsidRDefault="00D62302">
      <w:pPr>
        <w:pStyle w:val="Ttulo1"/>
        <w:numPr>
          <w:ilvl w:val="0"/>
          <w:numId w:val="5"/>
        </w:numPr>
      </w:pPr>
      <w:bookmarkStart w:id="1" w:name="_heading=h.gjdgxs" w:colFirst="0" w:colLast="0"/>
      <w:bookmarkEnd w:id="1"/>
      <w:r>
        <w:lastRenderedPageBreak/>
        <w:t>Apresentação</w:t>
      </w:r>
    </w:p>
    <w:p w:rsidR="004E4AF8" w:rsidRDefault="00D62302">
      <w:r>
        <w:t xml:space="preserve">O Plano de Contratação de Soluções de Tecnologia da Informação e Comunicação – PSTIC do Tribunal de Justiça do Estado do Acre é instrumento de planejamento que contempla o conjunto de investimentos em soluções de tecnologia da informação e comunicação que </w:t>
      </w:r>
      <w:r>
        <w:t xml:space="preserve">suportem as rotinas e as estratégias, conforme preconiza o Planejamento Estratégico Institucional, as metas, as ações e projetos estabelecidos no Planejamento de TIC (PETIC) e no Plano Diretor de Tecnologia da Informação (PDTIC). </w:t>
      </w:r>
    </w:p>
    <w:p w:rsidR="004E4AF8" w:rsidRDefault="00D62302">
      <w:r>
        <w:t>O PSTIC, atende às determ</w:t>
      </w:r>
      <w:r>
        <w:t>inações do art. 11 da Resolução 271/2022 do TPADM do TJAC e da Resolução nº 182, de 17 de outubro de 2013, do Conselho Nacional de Justiça, que orienta a sua elaboração para execução exercício seguinte pela Área de Tecnologia da Informação e Comunicação, c</w:t>
      </w:r>
      <w:r>
        <w:t>ontemplando todas as contratações necessárias ao alcance dos objetivos estratégicos do órgão.</w:t>
      </w:r>
    </w:p>
    <w:p w:rsidR="004E4AF8" w:rsidRDefault="00D62302">
      <w:r>
        <w:t>É importante registrar que foi publicada a Resolução CNJ 468/2022, de 15.07.2022, que dispõe sobre diretrizes para as contratações de Solução de Tecnologia da Inf</w:t>
      </w:r>
      <w:r>
        <w:t>ormação e Comunicação pelos órgãos submetidos ao controle administrativo e financeiro do Conselho Nacional de Justiça, para atender a promulgação da Lei nº 14.133/2021 – Nova Lei de Licitações e Contratos Administrativos.</w:t>
      </w:r>
    </w:p>
    <w:p w:rsidR="004E4AF8" w:rsidRDefault="00D62302">
      <w:pPr>
        <w:pStyle w:val="Ttulo1"/>
        <w:numPr>
          <w:ilvl w:val="0"/>
          <w:numId w:val="5"/>
        </w:numPr>
      </w:pPr>
      <w:bookmarkStart w:id="2" w:name="_heading=h.30j0zll" w:colFirst="0" w:colLast="0"/>
      <w:bookmarkEnd w:id="2"/>
      <w:r>
        <w:t>Processo de Contratação</w:t>
      </w:r>
    </w:p>
    <w:p w:rsidR="004E4AF8" w:rsidRDefault="00D62302">
      <w:r>
        <w:t>O processo</w:t>
      </w:r>
      <w:r>
        <w:t xml:space="preserve"> de contratação de soluções de TIC orientados pela estratégia institucional e o PDTIC, visa garantir o alinhamento das decisões de contratação de curto prazo, obedecendo aos princípios da razoabilidade e economicidade de recursos, conforme fluxograma a seg</w:t>
      </w:r>
      <w:r>
        <w:t>uir:</w:t>
      </w:r>
    </w:p>
    <w:p w:rsidR="004E4AF8" w:rsidRDefault="00D62302">
      <w:pPr>
        <w:keepNext/>
        <w:spacing w:after="0"/>
        <w:jc w:val="center"/>
      </w:pPr>
      <w:r>
        <w:rPr>
          <w:noProof/>
          <w:color w:val="595959"/>
        </w:rPr>
        <w:lastRenderedPageBreak/>
        <w:drawing>
          <wp:inline distT="0" distB="0" distL="0" distR="0">
            <wp:extent cx="4238637" cy="4258141"/>
            <wp:effectExtent l="0" t="0" r="0" b="0"/>
            <wp:docPr id="2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38637" cy="4258141"/>
                    </a:xfrm>
                    <a:prstGeom prst="rect">
                      <a:avLst/>
                    </a:prstGeom>
                    <a:ln/>
                  </pic:spPr>
                </pic:pic>
              </a:graphicData>
            </a:graphic>
          </wp:inline>
        </w:drawing>
      </w:r>
    </w:p>
    <w:p w:rsidR="004E4AF8" w:rsidRDefault="00D62302">
      <w:pPr>
        <w:pStyle w:val="Ttulo4"/>
        <w:spacing w:after="200" w:line="240" w:lineRule="auto"/>
        <w:jc w:val="center"/>
      </w:pPr>
      <w:bookmarkStart w:id="3" w:name="_heading=h.1fob9te" w:colFirst="0" w:colLast="0"/>
      <w:bookmarkEnd w:id="3"/>
      <w:r>
        <w:t>Figura 1 - Macroprocesso PSTIC</w:t>
      </w:r>
    </w:p>
    <w:p w:rsidR="004E4AF8" w:rsidRDefault="00D62302">
      <w:pPr>
        <w:pStyle w:val="Ttulo1"/>
        <w:numPr>
          <w:ilvl w:val="0"/>
          <w:numId w:val="5"/>
        </w:numPr>
      </w:pPr>
      <w:bookmarkStart w:id="4" w:name="_heading=h.41mghml" w:colFirst="0" w:colLast="0"/>
      <w:bookmarkEnd w:id="4"/>
      <w:r>
        <w:t>Alinhamento Estratégico</w:t>
      </w:r>
    </w:p>
    <w:p w:rsidR="004E4AF8" w:rsidRDefault="00D62302">
      <w:pPr>
        <w:sectPr w:rsidR="004E4AF8">
          <w:headerReference w:type="default" r:id="rId12"/>
          <w:footerReference w:type="default" r:id="rId13"/>
          <w:pgSz w:w="11906" w:h="16838"/>
          <w:pgMar w:top="1134" w:right="1134" w:bottom="1134" w:left="1134" w:header="709" w:footer="709" w:gutter="0"/>
          <w:cols w:space="720"/>
        </w:sectPr>
      </w:pPr>
      <w:r>
        <w:t>O plano de contratação de soluções de TIC atende a Resolução 182 do Conselho Nacional de Justiça – CNJ, bem como está alinhado ao Plano Estratégico Institucional, em especial ao objetivo estratégico de assegurar infraestrutura e governança de TIC que suste</w:t>
      </w:r>
      <w:r>
        <w:t>ntem as rotinas e as estratégias.</w:t>
      </w:r>
    </w:p>
    <w:p w:rsidR="004E4AF8" w:rsidRDefault="00D62302">
      <w:pPr>
        <w:pStyle w:val="Ttulo1"/>
        <w:numPr>
          <w:ilvl w:val="0"/>
          <w:numId w:val="5"/>
        </w:numPr>
        <w:rPr>
          <w:b w:val="0"/>
        </w:rPr>
      </w:pPr>
      <w:bookmarkStart w:id="5" w:name="_heading=h.3znysh7" w:colFirst="0" w:colLast="0"/>
      <w:bookmarkEnd w:id="5"/>
      <w:r>
        <w:rPr>
          <w:b w:val="0"/>
        </w:rPr>
        <w:lastRenderedPageBreak/>
        <w:t>Plano de Contratações de STIC – Exercício 2024</w:t>
      </w:r>
    </w:p>
    <w:p w:rsidR="004E4AF8" w:rsidRDefault="00D62302">
      <w:pPr>
        <w:pStyle w:val="Ttulo2"/>
        <w:numPr>
          <w:ilvl w:val="1"/>
          <w:numId w:val="5"/>
        </w:numPr>
      </w:pPr>
      <w:bookmarkStart w:id="6" w:name="_heading=h.2et92p0" w:colFirst="0" w:colLast="0"/>
      <w:bookmarkEnd w:id="6"/>
      <w:r>
        <w:t>Ações de Custeio/Manutenção</w:t>
      </w:r>
    </w:p>
    <w:tbl>
      <w:tblPr>
        <w:tblStyle w:val="afffffffffffffff2"/>
        <w:tblW w:w="14595" w:type="dxa"/>
        <w:tblInd w:w="-5"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480"/>
        <w:gridCol w:w="645"/>
        <w:gridCol w:w="990"/>
        <w:gridCol w:w="1365"/>
        <w:gridCol w:w="1470"/>
        <w:gridCol w:w="1140"/>
        <w:gridCol w:w="1155"/>
        <w:gridCol w:w="1035"/>
        <w:gridCol w:w="1185"/>
        <w:gridCol w:w="1155"/>
        <w:gridCol w:w="1035"/>
        <w:gridCol w:w="1065"/>
        <w:gridCol w:w="885"/>
        <w:gridCol w:w="990"/>
      </w:tblGrid>
      <w:tr w:rsidR="004E4AF8" w:rsidTr="004E4AF8">
        <w:trPr>
          <w:cnfStyle w:val="100000000000" w:firstRow="1" w:lastRow="0" w:firstColumn="0" w:lastColumn="0" w:oddVBand="0" w:evenVBand="0" w:oddHBand="0" w:evenHBand="0" w:firstRowFirstColumn="0" w:firstRowLastColumn="0" w:lastRowFirstColumn="0" w:lastRowLastColumn="0"/>
          <w:cantSplit/>
          <w:trHeight w:val="2574"/>
        </w:trPr>
        <w:tc>
          <w:tcPr>
            <w:cnfStyle w:val="001000000000" w:firstRow="0" w:lastRow="0" w:firstColumn="1" w:lastColumn="0" w:oddVBand="0" w:evenVBand="0" w:oddHBand="0" w:evenHBand="0" w:firstRowFirstColumn="0" w:firstRowLastColumn="0" w:lastRowFirstColumn="0" w:lastRowLastColumn="0"/>
            <w:tcW w:w="480" w:type="dxa"/>
            <w:tcBorders>
              <w:top w:val="nil"/>
              <w:left w:val="nil"/>
              <w:bottom w:val="nil"/>
            </w:tcBorders>
            <w:vAlign w:val="center"/>
          </w:tcPr>
          <w:p w:rsidR="004E4AF8" w:rsidRDefault="00D62302">
            <w:pPr>
              <w:ind w:left="113" w:right="113"/>
              <w:jc w:val="center"/>
              <w:rPr>
                <w:rFonts w:ascii="Calibri" w:eastAsia="Calibri" w:hAnsi="Calibri" w:cs="Calibri"/>
                <w:sz w:val="16"/>
                <w:szCs w:val="16"/>
              </w:rPr>
            </w:pPr>
            <w:r>
              <w:rPr>
                <w:rFonts w:ascii="Calibri" w:eastAsia="Calibri" w:hAnsi="Calibri" w:cs="Calibri"/>
                <w:sz w:val="16"/>
                <w:szCs w:val="16"/>
              </w:rPr>
              <w:t>SEQUÊNCIA</w:t>
            </w:r>
          </w:p>
        </w:tc>
        <w:tc>
          <w:tcPr>
            <w:tcW w:w="64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P</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R</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O</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C</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E</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S</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S</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O</w:t>
            </w:r>
          </w:p>
        </w:tc>
        <w:tc>
          <w:tcPr>
            <w:tcW w:w="990"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C</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O</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N</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T</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R</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A</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T</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O</w:t>
            </w:r>
          </w:p>
        </w:tc>
        <w:tc>
          <w:tcPr>
            <w:tcW w:w="136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E</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M</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P</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R</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E</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S</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A</w:t>
            </w:r>
          </w:p>
          <w:p w:rsidR="004E4AF8" w:rsidRDefault="004E4AF8">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p>
        </w:tc>
        <w:tc>
          <w:tcPr>
            <w:tcW w:w="1470" w:type="dxa"/>
            <w:tcBorders>
              <w:top w:val="nil"/>
              <w:bottom w:val="nil"/>
            </w:tcBorders>
            <w:vAlign w:val="center"/>
          </w:tcPr>
          <w:p w:rsidR="004E4AF8" w:rsidRDefault="00D62302">
            <w:pPr>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DESCRIÇÃO DO OBJETO</w:t>
            </w:r>
          </w:p>
        </w:tc>
        <w:tc>
          <w:tcPr>
            <w:tcW w:w="1140"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J</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U</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S</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T</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I</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F</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I</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C</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A</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T</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I</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V</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A</w:t>
            </w:r>
          </w:p>
        </w:tc>
        <w:tc>
          <w:tcPr>
            <w:tcW w:w="115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VALOR MENSAL</w:t>
            </w:r>
          </w:p>
        </w:tc>
        <w:tc>
          <w:tcPr>
            <w:tcW w:w="103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VALOR TOTAL</w:t>
            </w:r>
          </w:p>
        </w:tc>
        <w:tc>
          <w:tcPr>
            <w:tcW w:w="118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VIGÊNCIA (INICIO)</w:t>
            </w:r>
          </w:p>
        </w:tc>
        <w:tc>
          <w:tcPr>
            <w:tcW w:w="115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VIGÊNCIA (FIM)</w:t>
            </w:r>
          </w:p>
        </w:tc>
        <w:tc>
          <w:tcPr>
            <w:tcW w:w="103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TIPO DE</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CONTRATAÇÃO</w:t>
            </w:r>
          </w:p>
        </w:tc>
        <w:tc>
          <w:tcPr>
            <w:tcW w:w="106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FONTE</w:t>
            </w:r>
          </w:p>
          <w:p w:rsidR="004E4AF8" w:rsidRDefault="004E4AF8">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PAGA- DORA</w:t>
            </w:r>
          </w:p>
        </w:tc>
        <w:tc>
          <w:tcPr>
            <w:tcW w:w="88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F</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I</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S</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C</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A</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L</w:t>
            </w:r>
          </w:p>
        </w:tc>
        <w:tc>
          <w:tcPr>
            <w:tcW w:w="990" w:type="dxa"/>
            <w:tcBorders>
              <w:top w:val="nil"/>
              <w:bottom w:val="nil"/>
              <w:right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G</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E</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S</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T</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O</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r>
              <w:rPr>
                <w:rFonts w:ascii="Calibri" w:eastAsia="Calibri" w:hAnsi="Calibri" w:cs="Calibri"/>
                <w:sz w:val="16"/>
                <w:szCs w:val="16"/>
              </w:rPr>
              <w:t>R</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3392"/>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right="113"/>
              <w:jc w:val="left"/>
              <w:rPr>
                <w:sz w:val="20"/>
                <w:szCs w:val="20"/>
              </w:rPr>
            </w:pPr>
            <w:r>
              <w:rPr>
                <w:sz w:val="20"/>
                <w:szCs w:val="20"/>
              </w:rPr>
              <w:t>01</w:t>
            </w:r>
          </w:p>
        </w:tc>
        <w:tc>
          <w:tcPr>
            <w:tcW w:w="64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0008989-30.2019.8.01.0000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040/2021</w:t>
            </w:r>
          </w:p>
        </w:tc>
        <w:tc>
          <w:tcPr>
            <w:tcW w:w="13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AMÉRICA TECNOLOGIA</w:t>
            </w:r>
          </w:p>
        </w:tc>
        <w:tc>
          <w:tcPr>
            <w:tcW w:w="147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Contratação de serviço de suporte e manutenção em equipamentos da sala segura.</w:t>
            </w:r>
          </w:p>
        </w:tc>
        <w:tc>
          <w:tcPr>
            <w:tcW w:w="114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Garantir a segurança física e lógica da atual infraestrutura de armazenamento de dados dos equipamentos corporativos do Tribunal de Justiça do Estado do Acre.</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11.675,00</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140.100,00</w:t>
            </w:r>
          </w:p>
        </w:tc>
        <w:tc>
          <w:tcPr>
            <w:tcW w:w="118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15/08/23</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15/08/24</w:t>
            </w:r>
          </w:p>
        </w:tc>
        <w:tc>
          <w:tcPr>
            <w:tcW w:w="103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Pregão Eletrônico</w:t>
            </w:r>
          </w:p>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Nº 55/2020</w:t>
            </w:r>
          </w:p>
        </w:tc>
        <w:tc>
          <w:tcPr>
            <w:tcW w:w="106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Jader Sousa</w:t>
            </w:r>
          </w:p>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Santo</w:t>
            </w:r>
            <w:r>
              <w:rPr>
                <w:sz w:val="16"/>
                <w:szCs w:val="16"/>
              </w:rPr>
              <w:t>s</w:t>
            </w:r>
          </w:p>
        </w:tc>
        <w:tc>
          <w:tcPr>
            <w:tcW w:w="990"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Jose Carlos Martins Junior</w:t>
            </w:r>
          </w:p>
        </w:tc>
      </w:tr>
      <w:tr w:rsidR="004E4AF8" w:rsidTr="004E4AF8">
        <w:trPr>
          <w:cantSplit/>
          <w:trHeight w:val="4155"/>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02</w:t>
            </w:r>
          </w:p>
        </w:tc>
        <w:tc>
          <w:tcPr>
            <w:tcW w:w="64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0000399-93.2021.8.01.0000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131/2022</w:t>
            </w:r>
          </w:p>
        </w:tc>
        <w:tc>
          <w:tcPr>
            <w:tcW w:w="13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D'SOUZA ENG. MANUTENÇÕES E INSTALAÇÕES ELÉTRICAS EIRELI-ME</w:t>
            </w:r>
          </w:p>
        </w:tc>
        <w:tc>
          <w:tcPr>
            <w:tcW w:w="147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Manutenção Preventiva e Corretiva com fornecimentos de peças – Sistema de Segurança do Ambiente Seguro do TJAC.</w:t>
            </w:r>
          </w:p>
        </w:tc>
        <w:tc>
          <w:tcPr>
            <w:tcW w:w="114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Manter alta disponibilidade de funcionamento dos equipamentos de informática armazenados no interior da sala segura, preservando o ambiente ideal, livre de poeira e umidade, protegido contra fogo e vandalismos, provenientes do ambiente externo.</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7.500,00</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233.500,00</w:t>
            </w:r>
          </w:p>
        </w:tc>
        <w:tc>
          <w:tcPr>
            <w:tcW w:w="118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06/11/23</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06/11/24</w:t>
            </w:r>
          </w:p>
        </w:tc>
        <w:tc>
          <w:tcPr>
            <w:tcW w:w="103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Pregão Eletrônico</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Nº 20/2022</w:t>
            </w:r>
          </w:p>
        </w:tc>
        <w:tc>
          <w:tcPr>
            <w:tcW w:w="106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João de </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Oliveira Lima Neto</w:t>
            </w:r>
          </w:p>
        </w:tc>
        <w:tc>
          <w:tcPr>
            <w:tcW w:w="990"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Jose Carlos Martins Junior</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2880"/>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t>03</w:t>
            </w:r>
          </w:p>
        </w:tc>
        <w:tc>
          <w:tcPr>
            <w:tcW w:w="64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002248-37.2020.8.01.0000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001/2021</w:t>
            </w:r>
          </w:p>
        </w:tc>
        <w:tc>
          <w:tcPr>
            <w:tcW w:w="13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THEMA INFORMÁTICA LTDA</w:t>
            </w:r>
          </w:p>
        </w:tc>
        <w:tc>
          <w:tcPr>
            <w:tcW w:w="147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Suporte técnico do Sistema Integrado de Gestão Administrativa – GRP (manutenção corretiva e adaptativa), assessoria operacional (evolutiva), treinamento e consultoria.</w:t>
            </w:r>
          </w:p>
        </w:tc>
        <w:tc>
          <w:tcPr>
            <w:tcW w:w="114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 GRP é software exclusivo, sendo necessário modificações adaptativas e evolutivas do si</w:t>
            </w:r>
            <w:r>
              <w:rPr>
                <w:sz w:val="16"/>
                <w:szCs w:val="16"/>
              </w:rPr>
              <w:t>stema para manter a Gestão Administrativa do TJ. Visando prevenir a descontinuidade dos serviços ou a perda do serviço, que é essencial.</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63.689,87</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764.278,44</w:t>
            </w:r>
          </w:p>
        </w:tc>
        <w:tc>
          <w:tcPr>
            <w:tcW w:w="118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09/01/24</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09/01/25</w:t>
            </w:r>
          </w:p>
        </w:tc>
        <w:tc>
          <w:tcPr>
            <w:tcW w:w="103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Contratação direta por inexigibilidade de licitação</w:t>
            </w:r>
          </w:p>
        </w:tc>
        <w:tc>
          <w:tcPr>
            <w:tcW w:w="106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Josana Aymara Pe</w:t>
            </w:r>
            <w:r>
              <w:rPr>
                <w:sz w:val="16"/>
                <w:szCs w:val="16"/>
              </w:rPr>
              <w:t>reira Nishihira</w:t>
            </w:r>
          </w:p>
        </w:tc>
        <w:tc>
          <w:tcPr>
            <w:tcW w:w="990"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Jose Carlos Martins Junior</w:t>
            </w:r>
          </w:p>
        </w:tc>
      </w:tr>
      <w:tr w:rsidR="004E4AF8" w:rsidTr="004E4AF8">
        <w:trPr>
          <w:cantSplit/>
          <w:trHeight w:val="1134"/>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04</w:t>
            </w:r>
          </w:p>
        </w:tc>
        <w:tc>
          <w:tcPr>
            <w:tcW w:w="64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0002957-72.2020.8.01.0000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004/2021</w:t>
            </w:r>
          </w:p>
        </w:tc>
        <w:tc>
          <w:tcPr>
            <w:tcW w:w="13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OI S.A.</w:t>
            </w:r>
          </w:p>
        </w:tc>
        <w:tc>
          <w:tcPr>
            <w:tcW w:w="147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3 links - Serviço de comunicação de dados terrestre via fibra óptica para acesso à internet com garantia total da banda contratada. Largura de banda: 20 MBPS (Megabytes por segundo) mensal: 1 - Internet de Fibra de 20Mb para Palácio da Justiça/2-Internet d</w:t>
            </w:r>
            <w:r>
              <w:rPr>
                <w:sz w:val="14"/>
                <w:szCs w:val="14"/>
              </w:rPr>
              <w:t>e Fibra de 20Mb para Vila do Incra em Porto Acre/3-Internet de Fibra de 20Mb para Fórum Barão do Rio Branco.</w:t>
            </w:r>
          </w:p>
        </w:tc>
        <w:tc>
          <w:tcPr>
            <w:tcW w:w="114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Prover as unidades do TJAC de link de internet por meio de fibra óptica, visando a continuidade da prestação jurisdicional.</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21.380,97</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128.285,82</w:t>
            </w:r>
          </w:p>
        </w:tc>
        <w:tc>
          <w:tcPr>
            <w:tcW w:w="118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14/01/24</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13/07/24</w:t>
            </w:r>
          </w:p>
        </w:tc>
        <w:tc>
          <w:tcPr>
            <w:tcW w:w="103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Adesão ao Pregão Eletrônico</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Nº 001/2019 por UNEMAT</w:t>
            </w:r>
          </w:p>
        </w:tc>
        <w:tc>
          <w:tcPr>
            <w:tcW w:w="106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Amilar Sales Alves</w:t>
            </w:r>
          </w:p>
        </w:tc>
        <w:tc>
          <w:tcPr>
            <w:tcW w:w="990"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Jose Carlos Martins Junior</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3588"/>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05</w:t>
            </w:r>
          </w:p>
        </w:tc>
        <w:tc>
          <w:tcPr>
            <w:tcW w:w="64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0000456-14.2021.8.01.0000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002/2022</w:t>
            </w:r>
          </w:p>
        </w:tc>
        <w:tc>
          <w:tcPr>
            <w:tcW w:w="13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OI S.A.</w:t>
            </w:r>
          </w:p>
        </w:tc>
        <w:tc>
          <w:tcPr>
            <w:tcW w:w="147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Links Urbanos e Interurbanos para interligação da sede do Poder Judiciário do Estado do Acre, Localizado na Rua Tribunal de Justiça s/n, Via Verde, CEP: 69.920-193, Anexo “A” – DITEC.</w:t>
            </w:r>
          </w:p>
        </w:tc>
        <w:tc>
          <w:tcPr>
            <w:tcW w:w="114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Prover as unidades do TJAC de links urbanos e interurbanos, visando a co</w:t>
            </w:r>
            <w:r>
              <w:rPr>
                <w:sz w:val="14"/>
                <w:szCs w:val="14"/>
              </w:rPr>
              <w:t>ntinuidade da prestação jurisdicional, com a finalidade de oferecer ao Poder Judiciário do Estado do Acre, condições técnicas satisfatórias para prestação de serviços de telecomunicações bidirecionais, com possibilidade de aplicações de dados de forma dinâ</w:t>
            </w:r>
            <w:r>
              <w:rPr>
                <w:sz w:val="14"/>
                <w:szCs w:val="14"/>
              </w:rPr>
              <w:t>mica em âmbito corporativo, através de conexões dedicadas e Sistemas Comunicação de Dados, com abrangência nacional e possibilitando a conexão com outras redes públicas de dados do Brasil.</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182.283,03</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1.093.698,18</w:t>
            </w:r>
          </w:p>
        </w:tc>
        <w:tc>
          <w:tcPr>
            <w:tcW w:w="118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28/01/24</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28/07/24</w:t>
            </w:r>
          </w:p>
        </w:tc>
        <w:tc>
          <w:tcPr>
            <w:tcW w:w="103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Pregão Eletrônico</w:t>
            </w:r>
          </w:p>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r>
              <w:rPr>
                <w:sz w:val="16"/>
                <w:szCs w:val="16"/>
              </w:rPr>
              <w:t>º 58/2021</w:t>
            </w:r>
          </w:p>
        </w:tc>
        <w:tc>
          <w:tcPr>
            <w:tcW w:w="106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Amilar</w:t>
            </w:r>
          </w:p>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Sales Alves</w:t>
            </w:r>
          </w:p>
        </w:tc>
        <w:tc>
          <w:tcPr>
            <w:tcW w:w="990"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Jose Carlos Martins Junior</w:t>
            </w:r>
          </w:p>
        </w:tc>
      </w:tr>
      <w:tr w:rsidR="004E4AF8" w:rsidTr="004E4AF8">
        <w:trPr>
          <w:cantSplit/>
          <w:trHeight w:val="3022"/>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06</w:t>
            </w:r>
          </w:p>
        </w:tc>
        <w:tc>
          <w:tcPr>
            <w:tcW w:w="64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0005116-85.2020.8.01.0000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007/2022</w:t>
            </w:r>
          </w:p>
        </w:tc>
        <w:tc>
          <w:tcPr>
            <w:tcW w:w="13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GREEN4T SOLUÇÕES TI LTDA</w:t>
            </w:r>
          </w:p>
        </w:tc>
        <w:tc>
          <w:tcPr>
            <w:tcW w:w="147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Manutenção Preventiva e Manutenção Corretiva, para o Sistema de Climatização do Ambiente Seguro do TJAC.</w:t>
            </w:r>
          </w:p>
        </w:tc>
        <w:tc>
          <w:tcPr>
            <w:tcW w:w="114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Manter alta disponibilidade de funcionamento dos equipamentos de informática armazenados no interior da sala segura, preservando o ambiente ideal, livre de poeira e umidade, protegido contra fogo e vandalismos, provenientes do ambiente externo.</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8.230,95</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98.771,43</w:t>
            </w:r>
          </w:p>
        </w:tc>
        <w:tc>
          <w:tcPr>
            <w:tcW w:w="118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13/02/24</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13/02/25</w:t>
            </w:r>
          </w:p>
        </w:tc>
        <w:tc>
          <w:tcPr>
            <w:tcW w:w="103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Pregão Eletrônico</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60/2021</w:t>
            </w:r>
          </w:p>
        </w:tc>
        <w:tc>
          <w:tcPr>
            <w:tcW w:w="106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Elson</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Correia de Oliveira Neto</w:t>
            </w:r>
          </w:p>
        </w:tc>
        <w:tc>
          <w:tcPr>
            <w:tcW w:w="990"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Raquel</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Cunha da Conceição</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2477"/>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t>07</w:t>
            </w:r>
          </w:p>
        </w:tc>
        <w:tc>
          <w:tcPr>
            <w:tcW w:w="64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6"/>
                <w:szCs w:val="16"/>
              </w:rPr>
            </w:pPr>
            <w:r>
              <w:rPr>
                <w:sz w:val="18"/>
                <w:szCs w:val="18"/>
              </w:rPr>
              <w:t>0000403-96.2022.8.01.0000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022/2022</w:t>
            </w:r>
          </w:p>
        </w:tc>
        <w:tc>
          <w:tcPr>
            <w:tcW w:w="13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MOBILI BRASIL SERVIÇOS DE TELECOMUNICAÇÕES</w:t>
            </w:r>
          </w:p>
        </w:tc>
        <w:tc>
          <w:tcPr>
            <w:tcW w:w="147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Contratação de serviços de acesso à internet via satélite nos municípios de Marechal Thaumaturgo e Porto Walter.</w:t>
            </w:r>
          </w:p>
        </w:tc>
        <w:tc>
          <w:tcPr>
            <w:tcW w:w="114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Prover as unidades do TJAC de link de internet via satélite, visando a continuidade da prestação jurisdicional</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11.600,00</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139.200,00</w:t>
            </w:r>
          </w:p>
        </w:tc>
        <w:tc>
          <w:tcPr>
            <w:tcW w:w="118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04/05</w:t>
            </w:r>
            <w:r>
              <w:rPr>
                <w:sz w:val="16"/>
                <w:szCs w:val="16"/>
              </w:rPr>
              <w:t>/24</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04/05/25</w:t>
            </w:r>
          </w:p>
        </w:tc>
        <w:tc>
          <w:tcPr>
            <w:tcW w:w="103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Pregão Eletrônico Nº 28/2022</w:t>
            </w:r>
          </w:p>
        </w:tc>
        <w:tc>
          <w:tcPr>
            <w:tcW w:w="106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Jean Carlos Nery da Costa</w:t>
            </w:r>
          </w:p>
        </w:tc>
        <w:tc>
          <w:tcPr>
            <w:tcW w:w="990"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Jose Carlos Martins Junior</w:t>
            </w:r>
          </w:p>
        </w:tc>
      </w:tr>
      <w:tr w:rsidR="004E4AF8" w:rsidTr="004E4AF8">
        <w:trPr>
          <w:cantSplit/>
          <w:trHeight w:val="3872"/>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08</w:t>
            </w:r>
          </w:p>
        </w:tc>
        <w:tc>
          <w:tcPr>
            <w:tcW w:w="64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0007671-12.2019.8.01.0000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017/2020</w:t>
            </w:r>
          </w:p>
        </w:tc>
        <w:tc>
          <w:tcPr>
            <w:tcW w:w="13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ORACLE DO BRASIL SISTEMAS LTDA</w:t>
            </w:r>
          </w:p>
        </w:tc>
        <w:tc>
          <w:tcPr>
            <w:tcW w:w="147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Atualização de 06 licenciamentos de produtos e serviços de Oracle Database Standard Edition.</w:t>
            </w:r>
          </w:p>
        </w:tc>
        <w:tc>
          <w:tcPr>
            <w:tcW w:w="114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Atualizar os sistema já existente do Banco de Dados Oracle do GRP (Patrimônio, Almoxarifado, Orçamento, Contábil, Financeiro, Materiais, Patrimônio), Folha/RH, e S</w:t>
            </w:r>
            <w:r>
              <w:rPr>
                <w:sz w:val="14"/>
                <w:szCs w:val="14"/>
              </w:rPr>
              <w:t>AJ, para recebimento de atualizações de versões, erros nos gerenciadores, correções, alertas de segurança, entre outros, assim possibilitando gerenciar o banco de dados no sistema de forma mais eficaz.</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10.576,54</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126.918,48</w:t>
            </w:r>
          </w:p>
        </w:tc>
        <w:tc>
          <w:tcPr>
            <w:tcW w:w="118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16/05/24</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16/05/25</w:t>
            </w:r>
          </w:p>
        </w:tc>
        <w:tc>
          <w:tcPr>
            <w:tcW w:w="103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Contratação direta por inexigibilidade de licitação</w:t>
            </w:r>
          </w:p>
        </w:tc>
        <w:tc>
          <w:tcPr>
            <w:tcW w:w="106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Elson</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Correia de Oliveira Neto</w:t>
            </w:r>
          </w:p>
        </w:tc>
        <w:tc>
          <w:tcPr>
            <w:tcW w:w="990"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Jose Carlos Martins Junior</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09</w:t>
            </w:r>
          </w:p>
        </w:tc>
        <w:tc>
          <w:tcPr>
            <w:tcW w:w="64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0006527-66.2020.8.01.0000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045/2020</w:t>
            </w:r>
          </w:p>
        </w:tc>
        <w:tc>
          <w:tcPr>
            <w:tcW w:w="13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BRY TECNOLOGIA S.A</w:t>
            </w:r>
          </w:p>
        </w:tc>
        <w:tc>
          <w:tcPr>
            <w:tcW w:w="147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Protocolizadora Digital de Documentos Eletrônicos – BRY – PDDE.</w:t>
            </w:r>
          </w:p>
        </w:tc>
        <w:tc>
          <w:tcPr>
            <w:tcW w:w="114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 xml:space="preserve">Assegurar a validade jurídica dos documentos eletrônicos, com fundamento nos mesmos princípios técnicos e legais da assinatura digital, acrescido dos requisitos gerar um recibo de protocolo digital padrão RFC-3161, dotado de um conjunto de características </w:t>
            </w:r>
            <w:r>
              <w:rPr>
                <w:sz w:val="14"/>
                <w:szCs w:val="14"/>
              </w:rPr>
              <w:t>de segurança, inviolabilidade, integridade e irretroatividade, fornecendo a data/hora do registro de um documento eletrônico, transação eletrônica ou de uma assinatura digital a partir de uma fonte externa de tempo confiável.</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1.680,00</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23.184,00</w:t>
            </w:r>
          </w:p>
        </w:tc>
        <w:tc>
          <w:tcPr>
            <w:tcW w:w="118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16/05</w:t>
            </w:r>
            <w:r>
              <w:rPr>
                <w:sz w:val="16"/>
                <w:szCs w:val="16"/>
              </w:rPr>
              <w:t>/24</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16/05/25</w:t>
            </w:r>
          </w:p>
        </w:tc>
        <w:tc>
          <w:tcPr>
            <w:tcW w:w="103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Contratação direta por inexigibilidade</w:t>
            </w:r>
          </w:p>
        </w:tc>
        <w:tc>
          <w:tcPr>
            <w:tcW w:w="106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Isaac</w:t>
            </w:r>
          </w:p>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Timóteo</w:t>
            </w:r>
          </w:p>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Oliveira</w:t>
            </w:r>
          </w:p>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Júnior</w:t>
            </w:r>
          </w:p>
        </w:tc>
        <w:tc>
          <w:tcPr>
            <w:tcW w:w="990"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Jose Carlos Martins Junior</w:t>
            </w:r>
          </w:p>
        </w:tc>
      </w:tr>
      <w:tr w:rsidR="004E4AF8" w:rsidTr="004E4AF8">
        <w:trPr>
          <w:cantSplit/>
          <w:trHeight w:val="1134"/>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10</w:t>
            </w:r>
          </w:p>
        </w:tc>
        <w:tc>
          <w:tcPr>
            <w:tcW w:w="64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0005996-72.2023.8.01.0000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25/2020</w:t>
            </w:r>
          </w:p>
        </w:tc>
        <w:tc>
          <w:tcPr>
            <w:tcW w:w="13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SOFTPLAN SAJ</w:t>
            </w:r>
          </w:p>
        </w:tc>
        <w:tc>
          <w:tcPr>
            <w:tcW w:w="147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Sistema de Automação do Judiciário - SAJ</w:t>
            </w:r>
          </w:p>
        </w:tc>
        <w:tc>
          <w:tcPr>
            <w:tcW w:w="114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Necessidade de continuação dos serviços essenciais e indispensáveis ao TJAC, pois trata-se de prestação de serviço de sustentação, serviços de garantia de evolução tecnológica e funcional (GETF), serviços de criação e instalação de ambientes, serviços de d</w:t>
            </w:r>
            <w:r>
              <w:rPr>
                <w:sz w:val="14"/>
                <w:szCs w:val="14"/>
              </w:rPr>
              <w:t>esenvolvimento e outros serviços sob demanda, para o sistema integrado de gestão de processos judiciais físicos e eletrônicos de 1ª e 2ª instâncias, denominado Sistema de Automação da Justiça - SAJ.</w:t>
            </w:r>
          </w:p>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Os serviços são vitais para manter a continuidade da pres</w:t>
            </w:r>
            <w:r>
              <w:rPr>
                <w:sz w:val="14"/>
                <w:szCs w:val="14"/>
              </w:rPr>
              <w:t xml:space="preserve">tação jurisdicional, devido ao TJAC utilizar processo eletrônico no âmbito Judicial, tornando-se altamente moderno e </w:t>
            </w:r>
            <w:r>
              <w:rPr>
                <w:sz w:val="14"/>
                <w:szCs w:val="14"/>
              </w:rPr>
              <w:lastRenderedPageBreak/>
              <w:t>dinâmico com a utilização do referido Sistema.</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432.074,72</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R$ 6.415.458,96</w:t>
            </w:r>
          </w:p>
        </w:tc>
        <w:tc>
          <w:tcPr>
            <w:tcW w:w="118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19/05/24</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19/05/25</w:t>
            </w:r>
          </w:p>
        </w:tc>
        <w:tc>
          <w:tcPr>
            <w:tcW w:w="103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Contratação direta por inexigibilidade de licitação</w:t>
            </w:r>
          </w:p>
        </w:tc>
        <w:tc>
          <w:tcPr>
            <w:tcW w:w="106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Josana Aymara Pereira Nishihira</w:t>
            </w:r>
          </w:p>
        </w:tc>
        <w:tc>
          <w:tcPr>
            <w:tcW w:w="990"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Raquel </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Cunha da Conceição</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t>11</w:t>
            </w:r>
          </w:p>
        </w:tc>
        <w:tc>
          <w:tcPr>
            <w:tcW w:w="64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0003435-80.2020.8.01.0000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028/2021</w:t>
            </w:r>
          </w:p>
        </w:tc>
        <w:tc>
          <w:tcPr>
            <w:tcW w:w="13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E.S. LINHARES</w:t>
            </w:r>
          </w:p>
        </w:tc>
        <w:tc>
          <w:tcPr>
            <w:tcW w:w="147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Manutenção Preventiva e corretiva com fornecimento de peças do Sistema Elétrico do Ambiente Seguro do TJAC.</w:t>
            </w:r>
          </w:p>
        </w:tc>
        <w:tc>
          <w:tcPr>
            <w:tcW w:w="114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Manter alta disponibilidade de funcionamento dos equipamentos de informática armazenados no interior da sala segura, preservando o ambiente ideal, l</w:t>
            </w:r>
            <w:r>
              <w:rPr>
                <w:sz w:val="14"/>
                <w:szCs w:val="14"/>
              </w:rPr>
              <w:t>ivre de poeira e umidade, protegido contra fogo e vandalismos, provenientes do ambiente externo.</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R$ 10.833.33</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R$ 214.999,96</w:t>
            </w:r>
          </w:p>
        </w:tc>
        <w:tc>
          <w:tcPr>
            <w:tcW w:w="118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20/05/24</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20/05/25</w:t>
            </w:r>
          </w:p>
        </w:tc>
        <w:tc>
          <w:tcPr>
            <w:tcW w:w="103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Pregão Eletrônico Nº 07/2021</w:t>
            </w:r>
          </w:p>
        </w:tc>
        <w:tc>
          <w:tcPr>
            <w:tcW w:w="106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Elson</w:t>
            </w:r>
          </w:p>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Correia de Oliveira Neto</w:t>
            </w:r>
          </w:p>
        </w:tc>
        <w:tc>
          <w:tcPr>
            <w:tcW w:w="990"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Jose Carlos Martins Junior</w:t>
            </w:r>
          </w:p>
        </w:tc>
      </w:tr>
      <w:tr w:rsidR="004E4AF8" w:rsidTr="004E4AF8">
        <w:trPr>
          <w:cantSplit/>
          <w:trHeight w:val="1134"/>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12</w:t>
            </w:r>
          </w:p>
        </w:tc>
        <w:tc>
          <w:tcPr>
            <w:tcW w:w="64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0000456-14.2021.8.01.0000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016/2022</w:t>
            </w:r>
          </w:p>
        </w:tc>
        <w:tc>
          <w:tcPr>
            <w:tcW w:w="13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MENDEX NETWORKS TELECOMUNICA-</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ÇÕES LTDA-EPP</w:t>
            </w:r>
          </w:p>
        </w:tc>
        <w:tc>
          <w:tcPr>
            <w:tcW w:w="147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Serviço de conectividade utilizando IP/MPLS ou VPN SDWAN e link seguro de acesso à rede mundial de computadores (internet), interligando os Fóruns das Comarcas do Interior aos p</w:t>
            </w:r>
            <w:r>
              <w:rPr>
                <w:sz w:val="14"/>
                <w:szCs w:val="14"/>
              </w:rPr>
              <w:t>rédios do TJAC na cidade de Rio Branco, localizado na Rua Tribunal de Justiça s/n, Via Verde, CEP: 69.920-193, Anexo “A” – DITEC</w:t>
            </w:r>
          </w:p>
        </w:tc>
        <w:tc>
          <w:tcPr>
            <w:tcW w:w="114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Prover as unidades do TJAC acesso à rede mundial de computadores (internet), interligando os Fóruns das Comarcas do Interior ao</w:t>
            </w:r>
            <w:r>
              <w:rPr>
                <w:sz w:val="14"/>
                <w:szCs w:val="14"/>
              </w:rPr>
              <w:t>s prédios do TJAC, visando a continuidade da prestação jurisdicional, com a finalidade de oferecer ao Poder Judiciário do Estado do Acre, condições técnicas satisfatórias para prestação de serviços de telecomunicações bidirecionais, com possibilidade de ap</w:t>
            </w:r>
            <w:r>
              <w:rPr>
                <w:sz w:val="14"/>
                <w:szCs w:val="14"/>
              </w:rPr>
              <w:t xml:space="preserve">licações de dados de forma dinâmica em âmbito corporativo, através de conexões dedicadas e Sistemas Comunicação de Dados, com abrangência nacional e possibilitando a conexão com outras redes públicas de </w:t>
            </w:r>
            <w:r>
              <w:rPr>
                <w:sz w:val="14"/>
                <w:szCs w:val="14"/>
              </w:rPr>
              <w:lastRenderedPageBreak/>
              <w:t>dados do Brasil.</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R$ 182.283,03</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R$ 1.093.698,18</w:t>
            </w:r>
          </w:p>
        </w:tc>
        <w:tc>
          <w:tcPr>
            <w:tcW w:w="118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28/01/</w:t>
            </w:r>
            <w:r>
              <w:rPr>
                <w:sz w:val="16"/>
                <w:szCs w:val="16"/>
              </w:rPr>
              <w:t>24</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28/07/24</w:t>
            </w:r>
          </w:p>
        </w:tc>
        <w:tc>
          <w:tcPr>
            <w:tcW w:w="103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Pregão Eletrônico Nº 58/2021</w:t>
            </w:r>
          </w:p>
        </w:tc>
        <w:tc>
          <w:tcPr>
            <w:tcW w:w="106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Amilar</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Sales Alves</w:t>
            </w:r>
          </w:p>
        </w:tc>
        <w:tc>
          <w:tcPr>
            <w:tcW w:w="990"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Jose Carlos Martins Junior</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4297"/>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t>13</w:t>
            </w:r>
          </w:p>
        </w:tc>
        <w:tc>
          <w:tcPr>
            <w:tcW w:w="64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0004801-57.2020.8.01.0000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039/2020</w:t>
            </w:r>
          </w:p>
        </w:tc>
        <w:tc>
          <w:tcPr>
            <w:tcW w:w="13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SAFETEC INFORMÁTICA LTDA</w:t>
            </w:r>
          </w:p>
        </w:tc>
        <w:tc>
          <w:tcPr>
            <w:tcW w:w="147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75 Licenças Enterprise, conforme demais especificações constantes no Termo de Referência – Anexo I.</w:t>
            </w:r>
          </w:p>
        </w:tc>
        <w:tc>
          <w:tcPr>
            <w:tcW w:w="114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Cumprir o Plano de Continuidade de Serviços essenciais de TIC constante na Resolução CNJ 370/2021, garantir solução continuidade das videoconferências nas unidades do TJAC, atendendo determinação contida no Art. 6º, da Portaria 674/2020.</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R$ 8.635,5</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R$ 207</w:t>
            </w:r>
            <w:r>
              <w:rPr>
                <w:sz w:val="16"/>
                <w:szCs w:val="16"/>
              </w:rPr>
              <w:t>.252,00</w:t>
            </w:r>
          </w:p>
        </w:tc>
        <w:tc>
          <w:tcPr>
            <w:tcW w:w="118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01/12/23</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30/11/25</w:t>
            </w:r>
          </w:p>
        </w:tc>
        <w:tc>
          <w:tcPr>
            <w:tcW w:w="103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Adesão ao Pregão Eletrônico nº 68/2019 por MP- RN</w:t>
            </w:r>
          </w:p>
        </w:tc>
        <w:tc>
          <w:tcPr>
            <w:tcW w:w="106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Jader Sousa</w:t>
            </w:r>
          </w:p>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Santos</w:t>
            </w:r>
          </w:p>
        </w:tc>
        <w:tc>
          <w:tcPr>
            <w:tcW w:w="990" w:type="dxa"/>
            <w:vAlign w:val="center"/>
          </w:tcPr>
          <w:p w:rsidR="004E4AF8" w:rsidRDefault="004E4AF8">
            <w:pPr>
              <w:keepNext/>
              <w:jc w:val="cente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José Carlos Martins Júnior</w:t>
            </w:r>
          </w:p>
        </w:tc>
      </w:tr>
      <w:tr w:rsidR="004E4AF8" w:rsidTr="004E4AF8">
        <w:trPr>
          <w:cantSplit/>
          <w:trHeight w:val="3833"/>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14</w:t>
            </w:r>
          </w:p>
        </w:tc>
        <w:tc>
          <w:tcPr>
            <w:tcW w:w="64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0004801-57.2020.8.01.0000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003/2021</w:t>
            </w:r>
          </w:p>
        </w:tc>
        <w:tc>
          <w:tcPr>
            <w:tcW w:w="13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SAFETEC INFORMÁTICA LTDA</w:t>
            </w:r>
          </w:p>
        </w:tc>
        <w:tc>
          <w:tcPr>
            <w:tcW w:w="147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89 Licenças Enterprise, conforme demais especificações constantes no Termo de Referência – Anexo.</w:t>
            </w:r>
          </w:p>
        </w:tc>
        <w:tc>
          <w:tcPr>
            <w:tcW w:w="114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Cumprir o Plano de Continuidade de Serviços essenciais de TIC constante na Resolução CNJ 370/2021, garantir solução continuidade das videoconferências nas uni</w:t>
            </w:r>
            <w:r>
              <w:rPr>
                <w:sz w:val="14"/>
                <w:szCs w:val="14"/>
              </w:rPr>
              <w:t>dades do TJAC, atendendo determinação contida no Art. 6º, da Portaria 674/2020.</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10.247,46</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245.939,04</w:t>
            </w:r>
          </w:p>
        </w:tc>
        <w:tc>
          <w:tcPr>
            <w:tcW w:w="118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09/01/24</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08/01/26</w:t>
            </w:r>
          </w:p>
        </w:tc>
        <w:tc>
          <w:tcPr>
            <w:tcW w:w="103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Adesão ao Pregão Eletrônico nº 68/2019 por MP- RN</w:t>
            </w:r>
          </w:p>
        </w:tc>
        <w:tc>
          <w:tcPr>
            <w:tcW w:w="106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Jader Sousa</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Santos</w:t>
            </w:r>
          </w:p>
        </w:tc>
        <w:tc>
          <w:tcPr>
            <w:tcW w:w="990"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Jose Carlos Martins Junior</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3872"/>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t>15</w:t>
            </w:r>
          </w:p>
        </w:tc>
        <w:tc>
          <w:tcPr>
            <w:tcW w:w="64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0000561-54.2022.8.01.0000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155/2022</w:t>
            </w:r>
          </w:p>
        </w:tc>
        <w:tc>
          <w:tcPr>
            <w:tcW w:w="13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AMÉRICA TECNOLOGIA DE INFORMÁTICA E ELETRO-ELETRÔNICOS LTDA</w:t>
            </w:r>
          </w:p>
        </w:tc>
        <w:tc>
          <w:tcPr>
            <w:tcW w:w="147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Prestação de serviços continuados de suporte técnico especializado, manutenção preventiva e corretiva, incluindo o fornecimento de peças de reposição.</w:t>
            </w:r>
          </w:p>
        </w:tc>
        <w:tc>
          <w:tcPr>
            <w:tcW w:w="114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Garantir a continuidade de funcionamento dos equipamentos supracitados instalados na Sala Segura do TJAC, mediante a prestação de suporte técnico e a execução de manutenções corretivas e preventivas dentro dos prazos acordados.</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22.666,94</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272.003,28</w:t>
            </w:r>
          </w:p>
        </w:tc>
        <w:tc>
          <w:tcPr>
            <w:tcW w:w="118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22/12/24</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22/12/24</w:t>
            </w:r>
          </w:p>
        </w:tc>
        <w:tc>
          <w:tcPr>
            <w:tcW w:w="103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Adesão ao Pregão Eletrônico nº 116/2022</w:t>
            </w:r>
          </w:p>
        </w:tc>
        <w:tc>
          <w:tcPr>
            <w:tcW w:w="106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Elson Correia de Oliveira Neto</w:t>
            </w:r>
          </w:p>
        </w:tc>
        <w:tc>
          <w:tcPr>
            <w:tcW w:w="990"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Jose Carlos Martins Junior</w:t>
            </w:r>
          </w:p>
          <w:p w:rsidR="004E4AF8" w:rsidRDefault="004E4AF8">
            <w:pPr>
              <w:keepNext/>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4E4AF8" w:rsidTr="004E4AF8">
        <w:trPr>
          <w:cantSplit/>
          <w:trHeight w:val="1134"/>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16</w:t>
            </w:r>
          </w:p>
        </w:tc>
        <w:tc>
          <w:tcPr>
            <w:tcW w:w="64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0006670-84.2022.8.01.0000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159/2022</w:t>
            </w:r>
          </w:p>
        </w:tc>
        <w:tc>
          <w:tcPr>
            <w:tcW w:w="13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SONDA DO</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BRASIL LTDA</w:t>
            </w:r>
          </w:p>
        </w:tc>
        <w:tc>
          <w:tcPr>
            <w:tcW w:w="147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Prestação de Serviços, de natureza continuada, de suporte técnico relacionados à microinformática, incluindo o atendimento e resolução de requisições e incidentes, para usuários internos e externos, bem como manutenção programada de equipamentos, através d</w:t>
            </w:r>
            <w:r>
              <w:rPr>
                <w:sz w:val="14"/>
                <w:szCs w:val="14"/>
              </w:rPr>
              <w:t>e pessoal capacitado para tal fim, inclusive com o fornecimento de sistema de gerenciamento de serviços por meios próprios.</w:t>
            </w:r>
          </w:p>
        </w:tc>
        <w:tc>
          <w:tcPr>
            <w:tcW w:w="114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Melhorar substancial os serviços prestados pela DITEC, permitindo que o corpo de técnicos de TI possa focar-se em áreas mais especia</w:t>
            </w:r>
            <w:r>
              <w:rPr>
                <w:sz w:val="14"/>
                <w:szCs w:val="14"/>
              </w:rPr>
              <w:t>lizadas e, inclusive, auxiliar à gestão na melhoria contínua dos processos no que for relacionado aos serviços de TIC.</w:t>
            </w:r>
          </w:p>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Complementar, de forma racional, as deficiências que a DITEC não consegue suprir, ante o aumento das suas atribuições, bem como da demand</w:t>
            </w:r>
            <w:r>
              <w:rPr>
                <w:sz w:val="14"/>
                <w:szCs w:val="14"/>
              </w:rPr>
              <w:t>a, sem o aumento de efetivo na mesma proporção.</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R$ 62,10</w:t>
            </w:r>
          </w:p>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(Valor unitário da UST)</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3.503.123,10</w:t>
            </w:r>
          </w:p>
        </w:tc>
        <w:tc>
          <w:tcPr>
            <w:tcW w:w="118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04/01/24</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04/01/25</w:t>
            </w:r>
          </w:p>
        </w:tc>
        <w:tc>
          <w:tcPr>
            <w:tcW w:w="103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Adesão ao Pregão Eletrônico nº 23/2022 TJRR</w:t>
            </w:r>
          </w:p>
        </w:tc>
        <w:tc>
          <w:tcPr>
            <w:tcW w:w="106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4E4AF8">
            <w:pPr>
              <w:keepNext/>
              <w:jc w:val="left"/>
              <w:cnfStyle w:val="000000000000" w:firstRow="0" w:lastRow="0" w:firstColumn="0" w:lastColumn="0" w:oddVBand="0" w:evenVBand="0" w:oddHBand="0" w:evenHBand="0" w:firstRowFirstColumn="0" w:firstRowLastColumn="0" w:lastRowFirstColumn="0" w:lastRowLastColumn="0"/>
              <w:rPr>
                <w:sz w:val="16"/>
                <w:szCs w:val="16"/>
              </w:rPr>
            </w:pP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Ronimar Ferreira de Matos;</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Elson Correia de Oliveira Neto;</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Nivaldo Rodrigues da Silva;</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Josana Aymara Pereira Nishihir;</w:t>
            </w:r>
          </w:p>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Cinthia </w:t>
            </w:r>
            <w:bookmarkStart w:id="7" w:name="_GoBack"/>
            <w:r>
              <w:rPr>
                <w:sz w:val="16"/>
                <w:szCs w:val="16"/>
              </w:rPr>
              <w:t>Michelli</w:t>
            </w:r>
            <w:bookmarkEnd w:id="7"/>
            <w:r>
              <w:rPr>
                <w:sz w:val="16"/>
                <w:szCs w:val="16"/>
              </w:rPr>
              <w:t xml:space="preserve"> Mello da Silva.</w:t>
            </w:r>
          </w:p>
          <w:p w:rsidR="004E4AF8" w:rsidRDefault="004E4AF8">
            <w:pPr>
              <w:keepNext/>
              <w:jc w:val="center"/>
              <w:cnfStyle w:val="000000000000" w:firstRow="0" w:lastRow="0" w:firstColumn="0" w:lastColumn="0" w:oddVBand="0" w:evenVBand="0" w:oddHBand="0" w:evenHBand="0" w:firstRowFirstColumn="0" w:firstRowLastColumn="0" w:lastRowFirstColumn="0" w:lastRowLastColumn="0"/>
              <w:rPr>
                <w:sz w:val="16"/>
                <w:szCs w:val="16"/>
              </w:rPr>
            </w:pPr>
          </w:p>
          <w:p w:rsidR="004E4AF8" w:rsidRDefault="004E4AF8">
            <w:pPr>
              <w:keepNext/>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90"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Jose Carlos Martins Junior</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17</w:t>
            </w:r>
          </w:p>
        </w:tc>
        <w:tc>
          <w:tcPr>
            <w:tcW w:w="64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0003014-22.2022.8.01.0000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148/2022</w:t>
            </w:r>
          </w:p>
        </w:tc>
        <w:tc>
          <w:tcPr>
            <w:tcW w:w="13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TOCCATO TECNOLOGIA EM SISTEMAS LTDA</w:t>
            </w:r>
          </w:p>
        </w:tc>
        <w:tc>
          <w:tcPr>
            <w:tcW w:w="147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 xml:space="preserve">Prestação de serviços para a expansão da solução de visualização e de descoberta de dados com capacidade de inteligência de negócio, de autoatendimento (“self-service BI”), denominada Qlik Sense, permitindo a extração, transformação e carga de dados, para </w:t>
            </w:r>
            <w:r>
              <w:rPr>
                <w:sz w:val="14"/>
                <w:szCs w:val="14"/>
              </w:rPr>
              <w:t>suporte à tomada de decisão.</w:t>
            </w:r>
          </w:p>
        </w:tc>
        <w:tc>
          <w:tcPr>
            <w:tcW w:w="114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Atender a crescente demanda por informações gerenciais, por meio da contratação da ferramenta de Business Intelligence &amp; Data Analytics, Qlik, permitindo a descentralização gradual da geração dos relatórios e painéis gerenciais, favorecendo o descongestion</w:t>
            </w:r>
            <w:r>
              <w:rPr>
                <w:sz w:val="14"/>
                <w:szCs w:val="14"/>
              </w:rPr>
              <w:t>amento da estrutura de TI e da Corregedoria. A criação de painéis gerenciais interativos ligados a uma base de conhecimento, permite que o público interno e externo crie filtros personalizados e explorem os dados, de forma a gerarem relatórios de acordo co</w:t>
            </w:r>
            <w:r>
              <w:rPr>
                <w:sz w:val="14"/>
                <w:szCs w:val="14"/>
              </w:rPr>
              <w:t>m as necessidades específicas de cada unidade, gerenciadas por perfis de acesso público ou privado.</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526.500,00</w:t>
            </w:r>
          </w:p>
        </w:tc>
        <w:tc>
          <w:tcPr>
            <w:tcW w:w="118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14/12/23</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14/12/24</w:t>
            </w:r>
          </w:p>
        </w:tc>
        <w:tc>
          <w:tcPr>
            <w:tcW w:w="103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Adesão ao Pregão Eletrônico nº67/2022</w:t>
            </w:r>
          </w:p>
        </w:tc>
        <w:tc>
          <w:tcPr>
            <w:tcW w:w="106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Josana Ayamara Pereira Nishihira</w:t>
            </w:r>
          </w:p>
        </w:tc>
        <w:tc>
          <w:tcPr>
            <w:tcW w:w="990"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Jose Carlos Martins Junior</w:t>
            </w:r>
          </w:p>
        </w:tc>
      </w:tr>
      <w:tr w:rsidR="004E4AF8" w:rsidTr="004E4AF8">
        <w:trPr>
          <w:cantSplit/>
          <w:trHeight w:val="2661"/>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rPr>
                <w:color w:val="17406D"/>
                <w:sz w:val="20"/>
                <w:szCs w:val="20"/>
              </w:rPr>
            </w:pPr>
            <w:r>
              <w:rPr>
                <w:color w:val="17406D"/>
                <w:sz w:val="20"/>
                <w:szCs w:val="20"/>
              </w:rPr>
              <w:lastRenderedPageBreak/>
              <w:t>18</w:t>
            </w:r>
          </w:p>
        </w:tc>
        <w:tc>
          <w:tcPr>
            <w:tcW w:w="64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color w:val="2191C9"/>
                <w:sz w:val="18"/>
                <w:szCs w:val="18"/>
              </w:rPr>
            </w:pPr>
            <w:r>
              <w:rPr>
                <w:color w:val="2191C9"/>
                <w:sz w:val="18"/>
                <w:szCs w:val="18"/>
              </w:rPr>
              <w:t>0000819-35.2020.8.01.0000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6"/>
                <w:szCs w:val="16"/>
              </w:rPr>
            </w:pPr>
            <w:r>
              <w:rPr>
                <w:color w:val="2191C9"/>
                <w:sz w:val="16"/>
                <w:szCs w:val="16"/>
              </w:rPr>
              <w:t>127/2023</w:t>
            </w:r>
          </w:p>
        </w:tc>
        <w:tc>
          <w:tcPr>
            <w:tcW w:w="136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color w:val="2191C9"/>
                <w:sz w:val="16"/>
                <w:szCs w:val="16"/>
              </w:rPr>
            </w:pPr>
            <w:r>
              <w:rPr>
                <w:color w:val="2191C9"/>
                <w:sz w:val="16"/>
                <w:szCs w:val="16"/>
              </w:rPr>
              <w:t>MOBILI BRASIL SERVIÇOS DE TELECOMUNICAÇÕES LTDA</w:t>
            </w:r>
          </w:p>
        </w:tc>
        <w:tc>
          <w:tcPr>
            <w:tcW w:w="147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color w:val="2191C9"/>
                <w:sz w:val="16"/>
                <w:szCs w:val="16"/>
              </w:rPr>
            </w:pPr>
            <w:r>
              <w:rPr>
                <w:color w:val="2191C9"/>
                <w:sz w:val="16"/>
                <w:szCs w:val="16"/>
              </w:rPr>
              <w:t>Contratação de Internet via Satélite para Comarca de Santa Rosa do Purus</w:t>
            </w:r>
          </w:p>
        </w:tc>
        <w:tc>
          <w:tcPr>
            <w:tcW w:w="114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6"/>
                <w:szCs w:val="16"/>
              </w:rPr>
            </w:pPr>
            <w:r>
              <w:rPr>
                <w:color w:val="2191C9"/>
                <w:sz w:val="16"/>
                <w:szCs w:val="16"/>
              </w:rPr>
              <w:t>Proporcionar melhor estrutura de rede para realização dos serviços oferecidos pelo Centro Judiciário da Comarca não instalada de Santa Rosa do Purus à população local, de maioria indígena.</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6"/>
                <w:szCs w:val="16"/>
              </w:rPr>
            </w:pPr>
            <w:r>
              <w:rPr>
                <w:color w:val="2191C9"/>
                <w:sz w:val="16"/>
                <w:szCs w:val="16"/>
              </w:rPr>
              <w:t>R$ 5.083,00</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6"/>
                <w:szCs w:val="16"/>
              </w:rPr>
            </w:pPr>
            <w:r>
              <w:rPr>
                <w:color w:val="2191C9"/>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6"/>
                <w:szCs w:val="16"/>
              </w:rPr>
            </w:pPr>
            <w:r>
              <w:rPr>
                <w:color w:val="2191C9"/>
                <w:sz w:val="16"/>
                <w:szCs w:val="16"/>
              </w:rPr>
              <w:t>61.996,00</w:t>
            </w:r>
          </w:p>
        </w:tc>
        <w:tc>
          <w:tcPr>
            <w:tcW w:w="118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6"/>
                <w:szCs w:val="16"/>
              </w:rPr>
            </w:pPr>
            <w:r>
              <w:rPr>
                <w:color w:val="2191C9"/>
                <w:sz w:val="16"/>
                <w:szCs w:val="16"/>
              </w:rPr>
              <w:t>28/09/2023</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6"/>
                <w:szCs w:val="16"/>
              </w:rPr>
            </w:pPr>
            <w:r>
              <w:rPr>
                <w:color w:val="2191C9"/>
                <w:sz w:val="16"/>
                <w:szCs w:val="16"/>
              </w:rPr>
              <w:t>28/09/2024</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6"/>
                <w:szCs w:val="16"/>
              </w:rPr>
            </w:pPr>
            <w:r>
              <w:rPr>
                <w:color w:val="2191C9"/>
                <w:sz w:val="16"/>
                <w:szCs w:val="16"/>
              </w:rPr>
              <w:t>Adesão ao Pregão Ele</w:t>
            </w:r>
            <w:r>
              <w:rPr>
                <w:color w:val="2191C9"/>
                <w:sz w:val="16"/>
                <w:szCs w:val="16"/>
              </w:rPr>
              <w:t>trônico nº 85/2023</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6"/>
                <w:szCs w:val="16"/>
              </w:rPr>
            </w:pPr>
            <w:r>
              <w:rPr>
                <w:color w:val="2191C9"/>
                <w:sz w:val="16"/>
                <w:szCs w:val="16"/>
              </w:rPr>
              <w:t>DITEC</w:t>
            </w:r>
          </w:p>
        </w:tc>
        <w:tc>
          <w:tcPr>
            <w:tcW w:w="88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6"/>
                <w:szCs w:val="16"/>
              </w:rPr>
            </w:pPr>
            <w:r>
              <w:rPr>
                <w:color w:val="2191C9"/>
                <w:sz w:val="16"/>
                <w:szCs w:val="16"/>
              </w:rPr>
              <w:t>Jean Carlos Nery da Costa</w:t>
            </w:r>
          </w:p>
        </w:tc>
        <w:tc>
          <w:tcPr>
            <w:tcW w:w="990"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Jose Carlos Martins Junior</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4160"/>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color w:val="17406D"/>
                <w:sz w:val="20"/>
                <w:szCs w:val="20"/>
              </w:rPr>
            </w:pPr>
            <w:r>
              <w:rPr>
                <w:color w:val="17406D"/>
                <w:sz w:val="20"/>
                <w:szCs w:val="20"/>
              </w:rPr>
              <w:t>19</w:t>
            </w:r>
          </w:p>
        </w:tc>
        <w:tc>
          <w:tcPr>
            <w:tcW w:w="64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color w:val="2191C9"/>
                <w:sz w:val="18"/>
                <w:szCs w:val="18"/>
              </w:rPr>
            </w:pPr>
            <w:r>
              <w:rPr>
                <w:color w:val="2191C9"/>
                <w:sz w:val="18"/>
                <w:szCs w:val="18"/>
              </w:rPr>
              <w:t>0007238-66.2023.8.01.0000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168/2023</w:t>
            </w:r>
          </w:p>
        </w:tc>
        <w:tc>
          <w:tcPr>
            <w:tcW w:w="136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GARTNER DO BRASIL SERVIÇOS DE PESQUISAS LTDA</w:t>
            </w:r>
          </w:p>
        </w:tc>
        <w:tc>
          <w:tcPr>
            <w:tcW w:w="147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Serviço de Consultoria</w:t>
            </w:r>
          </w:p>
        </w:tc>
        <w:tc>
          <w:tcPr>
            <w:tcW w:w="114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Contratação da Empresa GARTNER para acompanhamento e implementação de serviços e procedimentos estratégicos e fluxos de trabalho.</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p>
          <w:p w:rsidR="004E4AF8" w:rsidRDefault="004E4AF8">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Ano I 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122.008,33</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p>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Ano II 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128.433,33</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p>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Ano III 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139.366,67</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4.677.700,00</w:t>
            </w:r>
          </w:p>
        </w:tc>
        <w:tc>
          <w:tcPr>
            <w:tcW w:w="118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19/12/2023</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19/12/2026</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INEXIGIBILIDADE DE LICITAÇÃO</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2191C9"/>
                <w:sz w:val="16"/>
                <w:szCs w:val="16"/>
              </w:rPr>
            </w:pPr>
            <w:r>
              <w:rPr>
                <w:color w:val="2191C9"/>
                <w:sz w:val="16"/>
                <w:szCs w:val="16"/>
              </w:rPr>
              <w:t>DITEC</w:t>
            </w:r>
          </w:p>
        </w:tc>
        <w:tc>
          <w:tcPr>
            <w:tcW w:w="88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Ronimar Ferreira de Matos</w:t>
            </w:r>
          </w:p>
        </w:tc>
        <w:tc>
          <w:tcPr>
            <w:tcW w:w="990"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Jose Carlos Martins Junior</w:t>
            </w:r>
          </w:p>
        </w:tc>
      </w:tr>
      <w:tr w:rsidR="004E4AF8" w:rsidTr="004E4AF8">
        <w:trPr>
          <w:cantSplit/>
          <w:trHeight w:val="4160"/>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20</w:t>
            </w:r>
          </w:p>
        </w:tc>
        <w:tc>
          <w:tcPr>
            <w:tcW w:w="64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0010590-32.2023.8.01.0000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002/2024</w:t>
            </w:r>
          </w:p>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36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MOBILI BRASIL SERVIÇOS DE TELECOMUNICAÇÕES LTDA</w:t>
            </w:r>
          </w:p>
        </w:tc>
        <w:tc>
          <w:tcPr>
            <w:tcW w:w="147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Serviço de internet via satélite</w:t>
            </w:r>
          </w:p>
        </w:tc>
        <w:tc>
          <w:tcPr>
            <w:tcW w:w="114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Serviço de internet via satélite de 30 mbps para o centro Judiciário de Jordão e para Escola Indígena de Estirão de Caucho em Tarauacá.</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11.600,00</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71.600,00</w:t>
            </w:r>
          </w:p>
        </w:tc>
        <w:tc>
          <w:tcPr>
            <w:tcW w:w="118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03/01/2024</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03/07/2024</w:t>
            </w:r>
          </w:p>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INEXIGIBILIDADE DE LICITAÇÃO</w:t>
            </w:r>
          </w:p>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Amilar Sales Alves</w:t>
            </w:r>
          </w:p>
        </w:tc>
        <w:tc>
          <w:tcPr>
            <w:tcW w:w="990"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Jose Carlos Martins Junior</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4160"/>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21</w:t>
            </w:r>
          </w:p>
        </w:tc>
        <w:tc>
          <w:tcPr>
            <w:tcW w:w="64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0001733-31.2022.8.01.0000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126/2023</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36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HR SOLUÇÕES E SERVIÇOS LTDA</w:t>
            </w:r>
          </w:p>
        </w:tc>
        <w:tc>
          <w:tcPr>
            <w:tcW w:w="147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transmissão e/ou</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gravação de sessões do TJAC</w:t>
            </w:r>
          </w:p>
          <w:p w:rsidR="004E4AF8" w:rsidRDefault="004E4AF8">
            <w:pP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4E4AF8">
            <w:pPr>
              <w:cnfStyle w:val="000000100000" w:firstRow="0" w:lastRow="0" w:firstColumn="0" w:lastColumn="0" w:oddVBand="0" w:evenVBand="0" w:oddHBand="1" w:evenHBand="0" w:firstRowFirstColumn="0" w:firstRowLastColumn="0" w:lastRowFirstColumn="0" w:lastRowLastColumn="0"/>
              <w:rPr>
                <w:sz w:val="16"/>
                <w:szCs w:val="16"/>
              </w:rPr>
            </w:pPr>
          </w:p>
        </w:tc>
        <w:tc>
          <w:tcPr>
            <w:tcW w:w="114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Objeto do presente instrumento é</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 contratação de empresa especializada para transmissão e/ou</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gravação de sessões e/ou eventos</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híbridos para atender as necessidades </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do Poder Judiciário do Estado do Acre</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de acordo com as condições </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estabelecidas no Termo de Referência</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1.499,00</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29.980,00</w:t>
            </w:r>
          </w:p>
        </w:tc>
        <w:tc>
          <w:tcPr>
            <w:tcW w:w="118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20/09/2023</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20/09/2024</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Pregão Eletrônico</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Angelo Douglas de </w:t>
            </w:r>
          </w:p>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Souza Lima</w:t>
            </w:r>
          </w:p>
        </w:tc>
        <w:tc>
          <w:tcPr>
            <w:tcW w:w="990"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Raquel Cunha da Conceição</w:t>
            </w:r>
          </w:p>
        </w:tc>
      </w:tr>
      <w:tr w:rsidR="004E4AF8" w:rsidTr="004E4AF8">
        <w:trPr>
          <w:cantSplit/>
          <w:trHeight w:val="4160"/>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22</w:t>
            </w:r>
          </w:p>
        </w:tc>
        <w:tc>
          <w:tcPr>
            <w:tcW w:w="64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0009495- 64.2023. 8.01.000 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160/2023</w:t>
            </w:r>
          </w:p>
        </w:tc>
        <w:tc>
          <w:tcPr>
            <w:tcW w:w="136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REDE NACIONAL DE ENSINO E PESQUISA </w:t>
            </w:r>
          </w:p>
        </w:tc>
        <w:tc>
          <w:tcPr>
            <w:tcW w:w="147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Contratação de empresa para aplicação de treinamentos</w:t>
            </w:r>
          </w:p>
        </w:tc>
        <w:tc>
          <w:tcPr>
            <w:tcW w:w="114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 objeto do presente instrumento é a contratação de empresa para aplicação de treinamentos em soluções de Segurança da Informação, Governança de T.I, Administração e Projetos de Redes e Desenvolvimento de Sistemas, para os integrantes das Gerências da Dire</w:t>
            </w:r>
            <w:r>
              <w:rPr>
                <w:sz w:val="16"/>
                <w:szCs w:val="16"/>
              </w:rPr>
              <w:t xml:space="preserve">toria de Tecnologia da Informação e Comunicação - DITEC, nas condições aqui estabelecidas. </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R$ 286.160,00</w:t>
            </w:r>
          </w:p>
        </w:tc>
        <w:tc>
          <w:tcPr>
            <w:tcW w:w="118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03/01/2024</w:t>
            </w:r>
          </w:p>
        </w:tc>
        <w:tc>
          <w:tcPr>
            <w:tcW w:w="11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03/01/2025</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Inexigibilidade de licitação</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Elson Correia de Oliveira Neto</w:t>
            </w:r>
          </w:p>
        </w:tc>
        <w:tc>
          <w:tcPr>
            <w:tcW w:w="990" w:type="dxa"/>
            <w:vAlign w:val="center"/>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Jose Carlos Martins Junior</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4160"/>
        </w:trPr>
        <w:tc>
          <w:tcPr>
            <w:cnfStyle w:val="001000000000" w:firstRow="0" w:lastRow="0" w:firstColumn="1" w:lastColumn="0" w:oddVBand="0" w:evenVBand="0" w:oddHBand="0" w:evenHBand="0" w:firstRowFirstColumn="0" w:firstRowLastColumn="0" w:lastRowFirstColumn="0" w:lastRowLastColumn="0"/>
            <w:tcW w:w="480" w:type="dxa"/>
            <w:shd w:val="clear" w:color="auto" w:fill="2191C9"/>
            <w:vAlign w:val="center"/>
          </w:tcPr>
          <w:p w:rsidR="004E4AF8" w:rsidRDefault="00D62302">
            <w:pPr>
              <w:ind w:left="113" w:right="113"/>
              <w:jc w:val="center"/>
              <w:rPr>
                <w:sz w:val="20"/>
                <w:szCs w:val="20"/>
              </w:rPr>
            </w:pPr>
            <w:r>
              <w:rPr>
                <w:sz w:val="20"/>
                <w:szCs w:val="20"/>
              </w:rPr>
              <w:lastRenderedPageBreak/>
              <w:t>23</w:t>
            </w:r>
          </w:p>
        </w:tc>
        <w:tc>
          <w:tcPr>
            <w:tcW w:w="64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2024-72</w:t>
            </w:r>
          </w:p>
          <w:p w:rsidR="004E4AF8" w:rsidRDefault="004E4AF8">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p>
          <w:p w:rsidR="004E4AF8" w:rsidRDefault="004E4AF8">
            <w:pPr>
              <w:ind w:left="113" w:right="113"/>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49/2024</w:t>
            </w:r>
          </w:p>
        </w:tc>
        <w:tc>
          <w:tcPr>
            <w:tcW w:w="136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SERVIÇO FEDERAL DE PROCESSAMENTO DE DADOS – SERPRO</w:t>
            </w:r>
          </w:p>
        </w:tc>
        <w:tc>
          <w:tcPr>
            <w:tcW w:w="147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Contratação de empresa para o provimento de plataforma de compartilhamento de base de dados (Cadastro</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Compartilhado da Receita Federal - b-Cadastros) por meio de uma rede blockchain permissionada, a fim de</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atender às necessidades do Poder Judiciário do Estado do ACRE.</w:t>
            </w:r>
          </w:p>
        </w:tc>
        <w:tc>
          <w:tcPr>
            <w:tcW w:w="114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Considerando que as atividades do Tribunal de Justiça do Estado do Acre (TJAC) estão intimamente</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relacionadas ao cuidado e à gestão de informações cruciais, como os dados de CPF (Cadastro de Pessoa Física),</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CNPJ (Cadastro Nacional da Pessoa Jurídica) e SN (Simples Nacional), verifica-se a necessidade premente de</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garantir a precisão e a confiabilidade </w:t>
            </w:r>
            <w:r>
              <w:rPr>
                <w:sz w:val="16"/>
                <w:szCs w:val="16"/>
              </w:rPr>
              <w:t>dessas informações para o desempenho eficaz de suas funções.</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Atualmente, as informações cadastrais de CPF e CNPJ+SN </w:t>
            </w:r>
            <w:r>
              <w:rPr>
                <w:sz w:val="16"/>
                <w:szCs w:val="16"/>
              </w:rPr>
              <w:lastRenderedPageBreak/>
              <w:t>disponíveis para o TJAC são fornecidas pelos</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próprios cidadãos, sendo inseridas nos sistemas judiciais. Diante desse cenário, torna-se essen</w:t>
            </w:r>
            <w:r>
              <w:rPr>
                <w:sz w:val="16"/>
                <w:szCs w:val="16"/>
              </w:rPr>
              <w:t>cial a</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implementação de uma solução que possibilite a validação destes dados, atendendo às exigências e</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responsabilidades das diversas áreas do Tribunal.</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lastRenderedPageBreak/>
              <w:t>R$ 2.850,2</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R$ 45164,70</w:t>
            </w:r>
          </w:p>
        </w:tc>
        <w:tc>
          <w:tcPr>
            <w:tcW w:w="118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22/05/2024</w:t>
            </w:r>
          </w:p>
        </w:tc>
        <w:tc>
          <w:tcPr>
            <w:tcW w:w="11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22/05/2025</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Inexigibilidade de Licitação</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85"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Ronimar Ferreira de </w:t>
            </w:r>
            <w:r>
              <w:rPr>
                <w:sz w:val="16"/>
                <w:szCs w:val="16"/>
              </w:rPr>
              <w:t>Matos</w:t>
            </w:r>
          </w:p>
        </w:tc>
        <w:tc>
          <w:tcPr>
            <w:tcW w:w="990" w:type="dxa"/>
            <w:vAlign w:val="center"/>
          </w:tcPr>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Jose Carlos Martins Junior</w:t>
            </w:r>
          </w:p>
        </w:tc>
      </w:tr>
    </w:tbl>
    <w:p w:rsidR="004E4AF8" w:rsidRDefault="00D62302">
      <w:pPr>
        <w:pStyle w:val="Ttulo5"/>
      </w:pPr>
      <w:bookmarkStart w:id="8" w:name="_heading=h.tyjcwt" w:colFirst="0" w:colLast="0"/>
      <w:bookmarkEnd w:id="8"/>
      <w:r>
        <w:t>Tabela 1 - Ações de Custeio/Manutenção</w:t>
      </w:r>
    </w:p>
    <w:p w:rsidR="004E4AF8" w:rsidRDefault="004E4AF8">
      <w:pPr>
        <w:pBdr>
          <w:top w:val="nil"/>
          <w:left w:val="nil"/>
          <w:bottom w:val="nil"/>
          <w:right w:val="nil"/>
          <w:between w:val="nil"/>
        </w:pBdr>
        <w:spacing w:after="200" w:line="240" w:lineRule="auto"/>
      </w:pPr>
    </w:p>
    <w:p w:rsidR="004E4AF8" w:rsidRDefault="004E4AF8">
      <w:pPr>
        <w:pBdr>
          <w:top w:val="nil"/>
          <w:left w:val="nil"/>
          <w:bottom w:val="nil"/>
          <w:right w:val="nil"/>
          <w:between w:val="nil"/>
        </w:pBdr>
        <w:spacing w:after="200" w:line="240" w:lineRule="auto"/>
      </w:pPr>
    </w:p>
    <w:p w:rsidR="004E4AF8" w:rsidRDefault="004E4AF8">
      <w:pPr>
        <w:pBdr>
          <w:top w:val="nil"/>
          <w:left w:val="nil"/>
          <w:bottom w:val="nil"/>
          <w:right w:val="nil"/>
          <w:between w:val="nil"/>
        </w:pBdr>
        <w:spacing w:after="200" w:line="240" w:lineRule="auto"/>
      </w:pPr>
    </w:p>
    <w:p w:rsidR="004E4AF8" w:rsidRDefault="004E4AF8">
      <w:pPr>
        <w:pBdr>
          <w:top w:val="nil"/>
          <w:left w:val="nil"/>
          <w:bottom w:val="nil"/>
          <w:right w:val="nil"/>
          <w:between w:val="nil"/>
        </w:pBdr>
        <w:spacing w:after="200" w:line="240" w:lineRule="auto"/>
      </w:pPr>
    </w:p>
    <w:p w:rsidR="004E4AF8" w:rsidRDefault="004E4AF8">
      <w:pPr>
        <w:pBdr>
          <w:top w:val="nil"/>
          <w:left w:val="nil"/>
          <w:bottom w:val="nil"/>
          <w:right w:val="nil"/>
          <w:between w:val="nil"/>
        </w:pBdr>
        <w:spacing w:after="200" w:line="240" w:lineRule="auto"/>
      </w:pPr>
    </w:p>
    <w:p w:rsidR="004E4AF8" w:rsidRDefault="00D62302">
      <w:pPr>
        <w:pStyle w:val="Ttulo2"/>
        <w:numPr>
          <w:ilvl w:val="1"/>
          <w:numId w:val="5"/>
        </w:numPr>
      </w:pPr>
      <w:bookmarkStart w:id="9" w:name="_heading=h.3dy6vkm" w:colFirst="0" w:colLast="0"/>
      <w:bookmarkEnd w:id="9"/>
      <w:r>
        <w:t>Ações de Investimentos</w:t>
      </w:r>
    </w:p>
    <w:tbl>
      <w:tblPr>
        <w:tblStyle w:val="afffffffffffffff3"/>
        <w:tblW w:w="14700" w:type="dxa"/>
        <w:tblInd w:w="-5"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420"/>
        <w:gridCol w:w="855"/>
        <w:gridCol w:w="705"/>
        <w:gridCol w:w="1680"/>
        <w:gridCol w:w="1725"/>
        <w:gridCol w:w="885"/>
        <w:gridCol w:w="825"/>
        <w:gridCol w:w="1140"/>
        <w:gridCol w:w="990"/>
        <w:gridCol w:w="855"/>
        <w:gridCol w:w="855"/>
        <w:gridCol w:w="1140"/>
        <w:gridCol w:w="1275"/>
        <w:gridCol w:w="855"/>
        <w:gridCol w:w="495"/>
      </w:tblGrid>
      <w:tr w:rsidR="004E4AF8" w:rsidTr="004E4AF8">
        <w:trPr>
          <w:cnfStyle w:val="100000000000" w:firstRow="1" w:lastRow="0" w:firstColumn="0" w:lastColumn="0" w:oddVBand="0" w:evenVBand="0" w:oddHBand="0" w:evenHBand="0" w:firstRowFirstColumn="0" w:firstRowLastColumn="0" w:lastRowFirstColumn="0" w:lastRowLastColumn="0"/>
          <w:cantSplit/>
          <w:trHeight w:val="3146"/>
        </w:trPr>
        <w:tc>
          <w:tcPr>
            <w:cnfStyle w:val="001000000000" w:firstRow="0" w:lastRow="0" w:firstColumn="1" w:lastColumn="0" w:oddVBand="0" w:evenVBand="0" w:oddHBand="0" w:evenHBand="0" w:firstRowFirstColumn="0" w:firstRowLastColumn="0" w:lastRowFirstColumn="0" w:lastRowLastColumn="0"/>
            <w:tcW w:w="420" w:type="dxa"/>
            <w:tcBorders>
              <w:top w:val="nil"/>
              <w:left w:val="nil"/>
              <w:bottom w:val="nil"/>
            </w:tcBorders>
            <w:vAlign w:val="center"/>
          </w:tcPr>
          <w:p w:rsidR="004E4AF8" w:rsidRDefault="00D62302">
            <w:pPr>
              <w:ind w:left="113" w:right="113"/>
              <w:jc w:val="center"/>
              <w:rPr>
                <w:sz w:val="20"/>
                <w:szCs w:val="20"/>
              </w:rPr>
            </w:pPr>
            <w:r>
              <w:rPr>
                <w:sz w:val="20"/>
                <w:szCs w:val="20"/>
              </w:rPr>
              <w:t>SEQUÊNCIA</w:t>
            </w:r>
          </w:p>
        </w:tc>
        <w:tc>
          <w:tcPr>
            <w:tcW w:w="85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PROCESSO</w:t>
            </w:r>
          </w:p>
        </w:tc>
        <w:tc>
          <w:tcPr>
            <w:tcW w:w="70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UNIDADE</w:t>
            </w:r>
          </w:p>
        </w:tc>
        <w:tc>
          <w:tcPr>
            <w:tcW w:w="1680"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DESCRIÇÃO DO OBJETO</w:t>
            </w:r>
          </w:p>
        </w:tc>
        <w:tc>
          <w:tcPr>
            <w:tcW w:w="172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JUSTIFICATIVA</w:t>
            </w:r>
          </w:p>
        </w:tc>
        <w:tc>
          <w:tcPr>
            <w:tcW w:w="88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TIPO</w:t>
            </w:r>
          </w:p>
        </w:tc>
        <w:tc>
          <w:tcPr>
            <w:tcW w:w="82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QUANTIDADE</w:t>
            </w:r>
          </w:p>
        </w:tc>
        <w:tc>
          <w:tcPr>
            <w:tcW w:w="1140"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br/>
              <w:t>ESTIMATIVA DE CUSTO</w:t>
            </w:r>
          </w:p>
        </w:tc>
        <w:tc>
          <w:tcPr>
            <w:tcW w:w="990"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RECURSO</w:t>
            </w:r>
          </w:p>
        </w:tc>
        <w:tc>
          <w:tcPr>
            <w:tcW w:w="85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PRAZO DE CONCLUSÃO (ETP)</w:t>
            </w:r>
          </w:p>
        </w:tc>
        <w:tc>
          <w:tcPr>
            <w:tcW w:w="85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PRAZO DE CONCLUSÃO (TR)</w:t>
            </w:r>
          </w:p>
        </w:tc>
        <w:tc>
          <w:tcPr>
            <w:tcW w:w="1140"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FISCAL</w:t>
            </w:r>
          </w:p>
        </w:tc>
        <w:tc>
          <w:tcPr>
            <w:tcW w:w="127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GESTOR</w:t>
            </w:r>
          </w:p>
        </w:tc>
        <w:tc>
          <w:tcPr>
            <w:tcW w:w="85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UNIDADE RESPONSAVEL</w:t>
            </w:r>
          </w:p>
        </w:tc>
        <w:tc>
          <w:tcPr>
            <w:tcW w:w="495" w:type="dxa"/>
            <w:tcBorders>
              <w:top w:val="nil"/>
              <w:bottom w:val="nil"/>
              <w:right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PRIORIDADE</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3022"/>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CCCCCC"/>
              <w:bottom w:val="single" w:sz="6" w:space="0" w:color="CCCCCC"/>
              <w:right w:val="single" w:sz="6" w:space="0" w:color="CCCCCC"/>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1</w:t>
            </w:r>
          </w:p>
        </w:tc>
        <w:tc>
          <w:tcPr>
            <w:tcW w:w="8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0006708-33.2021.8.01.0000</w:t>
            </w:r>
          </w:p>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0005772-08.2021.8.01.0000</w:t>
            </w:r>
          </w:p>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0003180-20.2023.8.01.0000</w:t>
            </w:r>
          </w:p>
        </w:tc>
        <w:tc>
          <w:tcPr>
            <w:tcW w:w="705" w:type="dxa"/>
            <w:tcBorders>
              <w:top w:val="single" w:sz="6" w:space="0" w:color="000000"/>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CEPRE</w:t>
            </w:r>
          </w:p>
        </w:tc>
        <w:tc>
          <w:tcPr>
            <w:tcW w:w="1680" w:type="dxa"/>
            <w:tcBorders>
              <w:top w:val="single" w:sz="6" w:space="0" w:color="000000"/>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Montar a estrutura tecnológica da CEPRE.</w:t>
            </w:r>
          </w:p>
        </w:tc>
        <w:tc>
          <w:tcPr>
            <w:tcW w:w="1725" w:type="dxa"/>
            <w:tcBorders>
              <w:top w:val="single" w:sz="6" w:space="0" w:color="000000"/>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Garantir a estruturação da Central de Processamento Eletrônico (CEPRE) do TJAC, com a expansão dos seus núcleos de atendimento.</w:t>
            </w:r>
          </w:p>
        </w:tc>
        <w:tc>
          <w:tcPr>
            <w:tcW w:w="885" w:type="dxa"/>
            <w:tcBorders>
              <w:top w:val="single" w:sz="6" w:space="0" w:color="000000"/>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ARP 23/2021</w:t>
            </w:r>
          </w:p>
        </w:tc>
        <w:tc>
          <w:tcPr>
            <w:tcW w:w="825" w:type="dxa"/>
            <w:tcBorders>
              <w:top w:val="single" w:sz="6" w:space="0" w:color="000000"/>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1</w:t>
            </w:r>
          </w:p>
        </w:tc>
        <w:tc>
          <w:tcPr>
            <w:tcW w:w="1140" w:type="dxa"/>
            <w:tcBorders>
              <w:top w:val="single" w:sz="6" w:space="0" w:color="000000"/>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R$ 191.941,56</w:t>
            </w:r>
          </w:p>
        </w:tc>
        <w:tc>
          <w:tcPr>
            <w:tcW w:w="990" w:type="dxa"/>
            <w:tcBorders>
              <w:top w:val="single" w:sz="6" w:space="0" w:color="000000"/>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Convênio</w:t>
            </w:r>
          </w:p>
        </w:tc>
        <w:tc>
          <w:tcPr>
            <w:tcW w:w="855" w:type="dxa"/>
            <w:tcBorders>
              <w:top w:val="single" w:sz="6" w:space="0" w:color="000000"/>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2021</w:t>
            </w:r>
          </w:p>
        </w:tc>
        <w:tc>
          <w:tcPr>
            <w:tcW w:w="855" w:type="dxa"/>
            <w:tcBorders>
              <w:top w:val="single" w:sz="6" w:space="0" w:color="000000"/>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2022</w:t>
            </w:r>
          </w:p>
        </w:tc>
        <w:tc>
          <w:tcPr>
            <w:tcW w:w="1140" w:type="dxa"/>
            <w:tcBorders>
              <w:top w:val="single" w:sz="6" w:space="0" w:color="000000"/>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Jean Campos de Souza</w:t>
            </w:r>
          </w:p>
        </w:tc>
        <w:tc>
          <w:tcPr>
            <w:tcW w:w="1275" w:type="dxa"/>
            <w:tcBorders>
              <w:top w:val="single" w:sz="6" w:space="0" w:color="000000"/>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Juíza de Direito Zenice Mota</w:t>
            </w:r>
          </w:p>
        </w:tc>
        <w:tc>
          <w:tcPr>
            <w:tcW w:w="855" w:type="dxa"/>
            <w:tcBorders>
              <w:top w:val="single" w:sz="6" w:space="0" w:color="000000"/>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DILOG</w:t>
            </w:r>
          </w:p>
        </w:tc>
        <w:tc>
          <w:tcPr>
            <w:tcW w:w="495" w:type="dxa"/>
            <w:tcBorders>
              <w:top w:val="single" w:sz="6" w:space="0" w:color="000000"/>
              <w:left w:val="single" w:sz="6" w:space="0" w:color="CCCCCC"/>
              <w:bottom w:val="single" w:sz="6" w:space="0" w:color="59A9F2"/>
              <w:right w:val="single" w:sz="6" w:space="0" w:color="59A9F2"/>
            </w:tcBorders>
            <w:shd w:val="clear" w:color="auto" w:fill="FFC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MÉDIA</w:t>
            </w:r>
          </w:p>
        </w:tc>
      </w:tr>
      <w:tr w:rsidR="007207B7" w:rsidTr="004E4AF8">
        <w:trPr>
          <w:cantSplit/>
          <w:trHeight w:val="26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shd w:val="clear" w:color="auto" w:fill="2191C9"/>
              </w:rPr>
            </w:pPr>
            <w:r>
              <w:rPr>
                <w:sz w:val="18"/>
                <w:szCs w:val="18"/>
                <w:shd w:val="clear" w:color="auto" w:fill="2191C9"/>
              </w:rPr>
              <w:lastRenderedPageBreak/>
              <w:t>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sz w:val="18"/>
                <w:szCs w:val="18"/>
                <w:shd w:val="clear" w:color="auto" w:fill="C7E2FA"/>
              </w:rPr>
              <w:t>0005528-11.2023.8.01.0000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sz w:val="18"/>
                <w:szCs w:val="18"/>
                <w:shd w:val="clear" w:color="auto" w:fill="C7E2FA"/>
              </w:rPr>
              <w:t>LAPIS</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sz w:val="18"/>
                <w:szCs w:val="18"/>
                <w:shd w:val="clear" w:color="auto" w:fill="C7E2FA"/>
              </w:rPr>
              <w:t>Aquisição de Painel de LED P4 Indoor compreendendo fornecimento, montagem e instalação do mesmo.</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4E4AF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p>
          <w:p w:rsidR="004E4AF8" w:rsidRDefault="00D62302">
            <w:pPr>
              <w:cnfStyle w:val="000000000000" w:firstRow="0" w:lastRow="0" w:firstColumn="0" w:lastColumn="0" w:oddVBand="0" w:evenVBand="0" w:oddHBand="0" w:evenHBand="0" w:firstRowFirstColumn="0" w:firstRowLastColumn="0" w:lastRowFirstColumn="0" w:lastRowLastColumn="0"/>
              <w:rPr>
                <w:sz w:val="18"/>
                <w:szCs w:val="18"/>
                <w:shd w:val="clear" w:color="auto" w:fill="C7E2FA"/>
              </w:rPr>
            </w:pPr>
            <w:r>
              <w:rPr>
                <w:sz w:val="18"/>
                <w:szCs w:val="18"/>
                <w:shd w:val="clear" w:color="auto" w:fill="C7E2FA"/>
              </w:rPr>
              <w:t>A realização do processo licitatório para o cumprimento do planejamento estratégico da instituição.</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sz w:val="18"/>
                <w:szCs w:val="18"/>
                <w:shd w:val="clear" w:color="auto" w:fill="C7E2FA"/>
              </w:rPr>
              <w:t>ARP 117/2023</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sz w:val="18"/>
                <w:szCs w:val="18"/>
                <w:shd w:val="clear" w:color="auto" w:fill="C7E2FA"/>
              </w:rPr>
              <w:t>2</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sz w:val="18"/>
                <w:szCs w:val="18"/>
                <w:shd w:val="clear" w:color="auto" w:fill="C7E2FA"/>
              </w:rPr>
              <w:t>R$ 70.000,00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sz w:val="18"/>
                <w:szCs w:val="18"/>
                <w:shd w:val="clear" w:color="auto" w:fill="C7E2FA"/>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2023</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2023</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Victor Hugo Lima de Sousa</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Raquel 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DITEC/GESER</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3</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0000081-76.2022.8.01.0000</w:t>
            </w:r>
          </w:p>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0002272-65.2020.8.01.0000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Sistema de Conferência via Software para Desktop e Mobile.</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Necessidade de atender ao Projeto Básico - Aditamento do Convênio Plataforma +Brasil nº 886484/2019 (SEI 0006279-37.2019.8.01.0000, Evento 1111319); Continuidade na prestação de serviço videoconferência com total segurança, sem possibilidade de interrupção</w:t>
            </w:r>
            <w:r>
              <w:rPr>
                <w:sz w:val="18"/>
                <w:szCs w:val="18"/>
              </w:rPr>
              <w:t xml:space="preserve"> dos mesmos virem a causar transtornos ao TJAC; Essencial na continuidade das videoconferências em todas as unidades do Tribunal de Justiça do Estado do Acre, permitindo a comunicação integrada, gerando eficiência nos processos administrativos e judiciais;</w:t>
            </w:r>
            <w:r>
              <w:rPr>
                <w:sz w:val="18"/>
                <w:szCs w:val="18"/>
              </w:rPr>
              <w:t xml:space="preserve"> Manutenção dos serviços do Poder Judiciário do Acre, com fornecimento de solução de videoconferência, com a garantia de ter um serviço especializado e </w:t>
            </w:r>
            <w:r>
              <w:rPr>
                <w:sz w:val="18"/>
                <w:szCs w:val="18"/>
              </w:rPr>
              <w:lastRenderedPageBreak/>
              <w:t>celeridade em sua execução.</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lastRenderedPageBreak/>
              <w:t>ARP 93/2022</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1</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R$ 170.000,00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Próprio e/ou Convênio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2022</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João de Oliveira</w:t>
            </w:r>
            <w:r>
              <w:rPr>
                <w:sz w:val="18"/>
                <w:szCs w:val="18"/>
              </w:rPr>
              <w:t xml:space="preserve"> Lima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1134"/>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4</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0000082-61.2022.8.01.0000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Aquisição Licenças de Integração Google Meet-Licenças de solução em nuvem para integração da solução Polycom e Google Meet de vídeo conferência, Google Meet Interoperability - PEXIP - Basic, 12 licenças por 3 anos cada</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Aditamento do Convênio Plataforma +Br</w:t>
            </w:r>
            <w:r>
              <w:rPr>
                <w:sz w:val="18"/>
                <w:szCs w:val="18"/>
              </w:rPr>
              <w:t>asil nº 886484/2019, que tem por objeto a aquisição de 1 (uma) licença de integração Polycon com Google Meet para atender a solução de videoconferência realizadas através dos CODECS instalados nas unidades Criminais do TJAC, contribuindo para o melhorament</w:t>
            </w:r>
            <w:r>
              <w:rPr>
                <w:sz w:val="18"/>
                <w:szCs w:val="18"/>
              </w:rPr>
              <w:t>o da realização de audiências e na melhoria da prestação de serviços aos jurisdicionados, promovendo economicidade para o Estado do Acre, expandindo as bases já instaladas nas unidades judiciárias com capacidade para realizar audiências de instrução via fe</w:t>
            </w:r>
            <w:r>
              <w:rPr>
                <w:sz w:val="18"/>
                <w:szCs w:val="18"/>
              </w:rPr>
              <w:t>rramenta de videoconferência, ampliando, dessa forma, a segurança dos magistrados e sociedade como um todo.</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Licitação</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12</w:t>
            </w:r>
          </w:p>
        </w:tc>
        <w:tc>
          <w:tcPr>
            <w:tcW w:w="1140"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R$ 216.743,48</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Próprio e/ou Convênio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2022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2022</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Amilar Sales Alves</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5</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0002868-15.2021.8.01.0000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Aquisição de 113 Desktops, 113 Monitores, 7 impressoras multifuncionais, 5 Scanners de Mesa e 6 notebooks</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Execução do Convênio Plataforma +Brasil Nº 915462/2021, que tem como escopo a modernização do Parque Tecnológico do TJAC, permitindo ampliar os</w:t>
            </w:r>
            <w:r>
              <w:rPr>
                <w:sz w:val="18"/>
                <w:szCs w:val="18"/>
              </w:rPr>
              <w:t xml:space="preserve"> serviços nos 22 municípios acreanos que operaram de forma virtual, através da aquisição de equipamentos contribuindo com uma maior celeridade do Judiciário Acreano. O TJAC possui 2.109 mil colaboradores, entre magistrados, servidores administrativos e aux</w:t>
            </w:r>
            <w:r>
              <w:rPr>
                <w:sz w:val="18"/>
                <w:szCs w:val="18"/>
              </w:rPr>
              <w:t>iliares. Esse grupo de colaboradores trabalha para uma população de 894.470 mil jurisdicionados. Daí se depreende a importância dos recursos tecnológicos para uma prestação jurisdicional mais célere e efetiva.</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Contratos</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24</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113;</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113;</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6.</w:t>
            </w:r>
          </w:p>
        </w:tc>
        <w:tc>
          <w:tcPr>
            <w:tcW w:w="1140"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R$ 1.3</w:t>
            </w:r>
            <w:r>
              <w:rPr>
                <w:sz w:val="18"/>
                <w:szCs w:val="18"/>
              </w:rPr>
              <w:t>21.154,66</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Próprio e/ou Convênio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2022</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Helio Oliveira de Carvalho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Raimundo José da Costa Rodrigues</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1134"/>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6</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0002559-28.2020.8.01.0000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Prestação de serviços de impressão corporativa, dotados de sistema de gestão, com assistência técnica e reposição de peças e insumos, para as unidades administrativas e judiciárias do TJAC - Outsourcing</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Defasagem que os equipamentos de TIC tem apresentado, uma vez que diversos equipamentos estão em fase final de vida útil e sem garantia em razão da política de mercado dos fabricantes. Deste modo, a contratação objetiva atender a necessidade do TJAC nas Co</w:t>
            </w:r>
            <w:r>
              <w:rPr>
                <w:sz w:val="18"/>
                <w:szCs w:val="18"/>
              </w:rPr>
              <w:t>marcas do interior e capital do Estado do Acre.</w:t>
            </w:r>
          </w:p>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Esta modalidade de serviço de impressão tem por característica, a utilização de equipamentos atualizados, com a possibilidade do gerenciamento de impressões que permitem controlar e reduzir gastos e desperdíc</w:t>
            </w:r>
            <w:r>
              <w:rPr>
                <w:sz w:val="18"/>
                <w:szCs w:val="18"/>
              </w:rPr>
              <w:t>ios com impressões no Tribunal de Justiça do Estado do Acre - TJAC, e permitindo a padronização e a utilização consciente deste serviço.</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Licitação</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410</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R$ 1.680.000,00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Próprio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2022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2023</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2833"/>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7</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0003807-24.2023.8.01.0000</w:t>
            </w:r>
          </w:p>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0001410-94.2020.8.01.0000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GEINS</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Aquisição de gerador de energia para as Comarcas do Interior, Juizados Especiais Cíveis de Rio Branco e Sala Segura da DITEC.</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Levar resiliência energética às unidades do Tribunal de Justiça do Acre, com vistas a mitigar os problemas de falta de energ</w:t>
            </w:r>
            <w:r>
              <w:rPr>
                <w:sz w:val="18"/>
                <w:szCs w:val="18"/>
              </w:rPr>
              <w:t>ia elétrica enfrentada atualmente.</w:t>
            </w:r>
          </w:p>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Proporcionar o perfeito funcionamento das unidades de armazenamento de dados e de comunicação integrada, gerando eficiência na prestação de serviços administrativos e judiciais.</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Licitação</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3</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R$ 1.170.433,66</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Próprio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2020</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w:t>
            </w:r>
            <w:r>
              <w:rPr>
                <w:sz w:val="18"/>
                <w:szCs w:val="18"/>
              </w:rPr>
              <w:t>19</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DILOG</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GEINS</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2583"/>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color w:val="17406D"/>
                <w:sz w:val="18"/>
                <w:szCs w:val="18"/>
              </w:rPr>
              <w:t>8</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color w:val="17406D"/>
                <w:sz w:val="18"/>
                <w:szCs w:val="18"/>
              </w:rPr>
            </w:pPr>
            <w:r>
              <w:rPr>
                <w:color w:val="17406D"/>
                <w:sz w:val="18"/>
                <w:szCs w:val="18"/>
              </w:rPr>
              <w:t>0004379-82.2020.8.01.0000</w:t>
            </w:r>
          </w:p>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406D"/>
                <w:sz w:val="22"/>
                <w:szCs w:val="22"/>
              </w:rPr>
            </w:pPr>
            <w:r>
              <w:rPr>
                <w:color w:val="17406D"/>
                <w:sz w:val="18"/>
                <w:szCs w:val="18"/>
              </w:rPr>
              <w:t>0003321-73.2022.8.01.0000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color w:val="17406D"/>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color w:val="17406D"/>
                <w:sz w:val="18"/>
                <w:szCs w:val="18"/>
              </w:rPr>
              <w:t>Plataforma de Comunicação Processual do CNJ – DJEN</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color w:val="17406D"/>
                <w:sz w:val="18"/>
                <w:szCs w:val="18"/>
              </w:rPr>
              <w:t xml:space="preserve">Cumprimento da Resolução CNJ n. 234, de 13 de julho de 2016, a qual “institui o Diário de Justiça Eletrônico Nacional (DJEN), a Plataforma de Comunicações Processuais (Domicílio Eletrônico) e a Plataforma de Editais do Poder Judiciário, para os efeitos da </w:t>
            </w:r>
            <w:r>
              <w:rPr>
                <w:color w:val="17406D"/>
                <w:sz w:val="18"/>
                <w:szCs w:val="18"/>
              </w:rPr>
              <w:t>Lei 13.105, de 16 de março de 2015.</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color w:val="17406D"/>
                <w:sz w:val="18"/>
                <w:szCs w:val="18"/>
              </w:rPr>
              <w:t>Dispensa Licitação</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color w:val="17406D"/>
                <w:sz w:val="18"/>
                <w:szCs w:val="18"/>
              </w:rPr>
              <w:t>1</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color w:val="17406D"/>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color w:val="17406D"/>
                <w:sz w:val="18"/>
                <w:szCs w:val="18"/>
              </w:rPr>
              <w:t>Próprio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color w:val="17406D"/>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color w:val="17406D"/>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color w:val="17406D"/>
                <w:sz w:val="18"/>
                <w:szCs w:val="18"/>
              </w:rPr>
              <w:t>Revogada a Resolução 234/2016, será atendido pela Resolução 455/2022.</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color w:val="17406D"/>
                <w:sz w:val="18"/>
                <w:szCs w:val="18"/>
              </w:rPr>
              <w:t>PRESI/ 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color w:val="17406D"/>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2880"/>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9</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0007556-20.2021.8.01.0000</w:t>
            </w:r>
          </w:p>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0000961-05.2021.8.01.0000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PRESI</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Implantação da Lei nº 13.709 /2018 - LGPD - Lei Geral de Proteção de Dados</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Cumprir a Lei 13.709/2018 em vigor desde 18/09/2020.</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1</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R$ 396.120,00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Portaria 441</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Portaria 441</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PRESI</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3021"/>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color w:val="17406D"/>
                <w:sz w:val="22"/>
                <w:szCs w:val="22"/>
              </w:rPr>
            </w:pPr>
            <w:r>
              <w:rPr>
                <w:color w:val="17406D"/>
                <w:sz w:val="18"/>
                <w:szCs w:val="18"/>
              </w:rPr>
              <w:t>10</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0008451-44.2022.8.01.0000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Ferramentas de acesso remoto – aplicação das soluções nos computadores do TJAC, sem a necessidade de deslocamento do técnico de TI, tanto no interior quanto na capital.</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Utilizar ferramenta de acesso remoto que facilita a aplicação das soluções nos computad</w:t>
            </w:r>
            <w:r>
              <w:rPr>
                <w:sz w:val="18"/>
                <w:szCs w:val="18"/>
              </w:rPr>
              <w:t>ores do TJAC sem a necessidade de deslocamento do técnico de TI, tanto no interior quanto na capital.</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Licitação</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2000</w:t>
            </w:r>
          </w:p>
        </w:tc>
        <w:tc>
          <w:tcPr>
            <w:tcW w:w="1140"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R$ 10.000,00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2880"/>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11</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0003303-86.2021.8.01.0000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Cartão GBIC para Storage</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Os bens/materiais serão utilizados para interligar storages que estejam em ambiente diferentes através de fibra óptica monomodo e por longa distância.</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24</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R$ 18.713,28</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2021</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2021</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C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MÉDIA</w:t>
            </w:r>
          </w:p>
        </w:tc>
      </w:tr>
      <w:tr w:rsidR="007207B7" w:rsidTr="004E4AF8">
        <w:trPr>
          <w:cantSplit/>
          <w:trHeight w:val="2835"/>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12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0004051-50.2023.8.01.0000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Aquisição de webcams, caixas de sem para desktop, headset, teclado com e sem fio, padrão e em braile, mouse sem fio e SSD.</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Atender às necessidades de atualização do setor tecnológico do TJAC elevando o nível de equipamentos para aumentar a qualidade da pre</w:t>
            </w:r>
            <w:r>
              <w:rPr>
                <w:sz w:val="18"/>
                <w:szCs w:val="18"/>
              </w:rPr>
              <w:t>stação jurisdicional em todo âmbito judiciário. Cumprir o Plano de Continuidade de Serviços essenciais de TIC constante na Resolução 370/2020 do CNJ, conforme Art. 36.</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Licitação</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1160</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R$ 350.130,60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C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MÉDIA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259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13</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0006192-76.2022.8.01.0000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Reestruturação da Rede Lógica da Comarca de Mâncio Lima.</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Reestruturar à rede interna, e atender a Resolução 24, caput, da Resolução TPADM 226/2018, mitigando a degradação de toda rede lógica, reduzindo demasiadamente a velocidade de comunicação de dado.</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Co</w:t>
            </w:r>
            <w:r>
              <w:rPr>
                <w:sz w:val="18"/>
                <w:szCs w:val="18"/>
              </w:rPr>
              <w:t>nvênio</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61</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R$ 25.857,00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DILOG / DRVJU</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273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14</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0009503-75.2022.8.01.0000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Reestruturação da Rede Lógica da Comarca de Manoel Urbano.</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Reestruturar à rede interna, e atender a Resolução 24, caput, da Resolução TPADM 226/2018, mitigando a degradação de toda rede lógica, reduzindo demasiadamente a velocidade de comunicação de dado.</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Convênio</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40</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DILOG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2973"/>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15</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0008098-67.2023.8.01.0000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Impressora Térmica</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 xml:space="preserve">"O TJAC, passa por constantes modernizações em relação aos serviços prestados à sociedade e quanto aos  serviços necessários para atendimento de demandas internas e administrativas. O avanço tecnológico demanda cada vez mais a interação dos serviços de TI </w:t>
            </w:r>
            <w:r>
              <w:rPr>
                <w:sz w:val="18"/>
                <w:szCs w:val="18"/>
              </w:rPr>
              <w:t>com os usuários internos e externos.   A sustentabilidade passou a ser um fator relevante às organizações e a  demanda por ações que minimizem os impactos à natureza passaram a integrar as políticas e serviços prestados."</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100</w:t>
            </w:r>
          </w:p>
        </w:tc>
        <w:tc>
          <w:tcPr>
            <w:tcW w:w="1140"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R$ 97.745,00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Victor Hu</w:t>
            </w:r>
            <w:r>
              <w:rPr>
                <w:sz w:val="18"/>
                <w:szCs w:val="18"/>
              </w:rPr>
              <w:t>go Lima de Sousa</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DITEC/GESER</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2695"/>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16</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0003995-17.2023.8.01.0000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Aquisição e instalação de Repetidor de Sinal Telefônico (SALA DOS OFICIAIS DE JUSTIÇA)</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Fornecer acesso ao sinal telefônico (celular) no interior da sala dos Oficiais de Justiça, uma vez que se trata de local no subsolo do prédio dos Juizados Especiais Cíveis. Necessidade de contato com os oficiais, em especial com os plantonistas do dia. Nec</w:t>
            </w:r>
            <w:r>
              <w:rPr>
                <w:sz w:val="18"/>
                <w:szCs w:val="18"/>
              </w:rPr>
              <w:t>essidade de prover os meios necessários para uma melhor e mais ágil prestação jurisdicional.</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Licitação</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1</w:t>
            </w:r>
          </w:p>
        </w:tc>
        <w:tc>
          <w:tcPr>
            <w:tcW w:w="1140"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R$ 1.149,90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Próprio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C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MÉDIA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17</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0007217-27.2022.8.01.0000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GEINS</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Workstations para Desenho Técnico – GEINS.</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 xml:space="preserve">Atender as necessidades especificas das áreas técnicas do TJAC, exclusivamente na ESJUD em razão da produção de mídia, editoração gráfica entre outros serviços técnicos, e também na GEINS, DITEC, DIINS, dentre outros que exigirem potência mais elevada nos </w:t>
            </w:r>
            <w:r>
              <w:rPr>
                <w:sz w:val="18"/>
                <w:szCs w:val="18"/>
              </w:rPr>
              <w:t>quesitos de processamento de vídeo, processamento de CPU à visualização e simulação de ambientes tridimensionais, como softwares de engenharia e arquitetura.</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Licitação</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60</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R$ 483.740,00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Próprio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2022</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Bono Luy da Costa Maia</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Jener Pontes de Oliveira</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Flavio Soares Santos</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GECON</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273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18</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0004485-73.2022.8.01.0000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SEPSO</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Internet Móvel para Projeto Cidadão.</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Atender as necessidades de executar em campo os Projetos desenvolvidos e acompanhados pela Secretaria de Programas Sociais.</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8</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R$ 1.652,64</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2023</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2023</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GECON</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2974"/>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19</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0002097-03.2022.8.01.0000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Aquisição de baterias de nobreaks</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Minimizar a interrupção da prestação de serviços, com a aquisição de equipamentos com ampla cobertura de garantia. Necessidade de promover a atualização tecnológica, adquirindo baterias para substituição de nobreaks.</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Licitação</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572</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R$ 116.981,64</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Próprio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w:t>
            </w:r>
            <w:r>
              <w:rPr>
                <w:sz w:val="18"/>
                <w:szCs w:val="18"/>
              </w:rPr>
              <w:t>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2022</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João de Oliveira Lima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4297"/>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20</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0005471-27.2022.8.01.0000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WebSuite Polycom</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Aditamento do Convênio Plataforma +Brasil nº 886484/2019, que tem por objeto a aquisição de equipamentos e serviços de videoconferência para unidades do tribunal de justiça do estado do Acre, objetivando contribuir para agilizar na realização de audiências</w:t>
            </w:r>
            <w:r>
              <w:rPr>
                <w:sz w:val="18"/>
                <w:szCs w:val="18"/>
              </w:rPr>
              <w:t xml:space="preserve"> e na melhoria da prestação de serviços aos jurisdicionados, promovendo economicidade para o Estado do Acre, expandindo a base instalada de unidades judiciárias com capacidade para realizar audiências de instrução via ferramenta de videoconferência, amplia</w:t>
            </w:r>
            <w:r>
              <w:rPr>
                <w:sz w:val="18"/>
                <w:szCs w:val="18"/>
              </w:rPr>
              <w:t>ndo, dessa forma, a segurança dos magistrados e sociedade como um todo.</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ARP 93/2022</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1</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R$ 85.000,00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Convênio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2022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2022</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João de Oliveira Lima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2F2F2"/>
                <w:sz w:val="22"/>
                <w:szCs w:val="22"/>
              </w:rPr>
            </w:pPr>
            <w:r>
              <w:rPr>
                <w:color w:val="F2F2F2"/>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4183"/>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21</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0002096-18.2022.8.01.0000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Aquisição de discos de Storage, para backup de aplicação (SEI, SAJ, folha de pagamento, etc.) em caso de falha dos sistemas (5 anos garantia).</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Prover a restauração de backup de qualquer aplicação (SEI, SAJ, folha de pagamento, etc.) em caso de falha desses</w:t>
            </w:r>
            <w:r>
              <w:rPr>
                <w:sz w:val="18"/>
                <w:szCs w:val="18"/>
              </w:rPr>
              <w:t xml:space="preserve"> sistemas. Atenderá as necessidades de todas as unidades do TJAC, pois protegerá os citados sistemas em caso de incidentes, evitando a perda de dados, a não restauração do backup e a paralisação dos serviços de prestação jurisdicional.</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color w:val="17406D"/>
                <w:sz w:val="18"/>
                <w:szCs w:val="18"/>
              </w:rPr>
              <w:t>ARP 146/2022</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50</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R$ 2</w:t>
            </w:r>
            <w:r>
              <w:rPr>
                <w:sz w:val="18"/>
                <w:szCs w:val="18"/>
              </w:rPr>
              <w:t>49.500,00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Próprio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2022</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João de Oliveira Lima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2831"/>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22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0004932-27.2023.8.01.0000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Licenciamento Microsoft (Sistema Operacional + Active Directory)</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 Tribunal de Justiça do Estado do Acre (TJAC) é uma entidade governamental que, como muitos outros órgãos e organizações, precisa de sistemas operacionais confiáveis e seguros para gerenciar sua infraestrutura de tecnologia da informação. Um dos principai</w:t>
            </w:r>
            <w:r>
              <w:rPr>
                <w:sz w:val="18"/>
                <w:szCs w:val="18"/>
              </w:rPr>
              <w:t>s componentes desta infraestrutura é a rede do Tribunal, passando pelos meios de fibras ópticas, cabos de rede, wifi e rádio com mais de 2500 usuários. A rede de comunicação do Poder Judiciário do Estado do Acre cresce todo o dia em tamanho e complexidade,</w:t>
            </w:r>
            <w:r>
              <w:rPr>
                <w:sz w:val="18"/>
                <w:szCs w:val="18"/>
              </w:rPr>
              <w:t xml:space="preserve"> onerando consequentemente, a administração da mesma.</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Devido a grande utilização da rede do TJAC, há a </w:t>
            </w:r>
            <w:r>
              <w:rPr>
                <w:sz w:val="18"/>
                <w:szCs w:val="18"/>
              </w:rPr>
              <w:lastRenderedPageBreak/>
              <w:t>necessidade de implantação de um sistema facilitado e integrado, para autenticação e gerenciamento de usuários de rede como forma de aumentar a segurança</w:t>
            </w:r>
            <w:r>
              <w:rPr>
                <w:sz w:val="18"/>
                <w:szCs w:val="18"/>
              </w:rPr>
              <w:t xml:space="preserve"> digital de informações dentro do TJAC. O Active Directory (AD) é uma ferramenta da empresa Microsoft utilizada para o gerenciamento de usuários de rede, denominada serviço de diretório. Um diretório nada mais é do que um banco de dados contendo informaçõe</w:t>
            </w:r>
            <w:r>
              <w:rPr>
                <w:sz w:val="18"/>
                <w:szCs w:val="18"/>
              </w:rPr>
              <w:t>s dos usuários de uma organização, tais como nome, login, senha, cargo, perfil e etc.</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 crescente exploração de cibercriminosos às vulnerabilidades de sistemas operacionais desatualizados é uma ameaça constante a uma instituição corporativa como </w:t>
            </w:r>
            <w:r>
              <w:rPr>
                <w:sz w:val="18"/>
                <w:szCs w:val="18"/>
              </w:rPr>
              <w:lastRenderedPageBreak/>
              <w:t>este TJAC,</w:t>
            </w:r>
            <w:r>
              <w:rPr>
                <w:sz w:val="18"/>
                <w:szCs w:val="18"/>
              </w:rPr>
              <w:t xml:space="preserve"> que lida com dados críticos de milhares de jurisdicionados. Visando uma comunicação ágil para atualização das configurações e softwares das estações de trabalho, a ferramenta WSUS, permite manter todos os computadores e servidores da rede atualizados sem </w:t>
            </w:r>
            <w:r>
              <w:rPr>
                <w:sz w:val="18"/>
                <w:szCs w:val="18"/>
              </w:rPr>
              <w:t>consumir a banda de internet no horário de maior uso, otimizando a utilização de links de internet.</w:t>
            </w:r>
          </w:p>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lastRenderedPageBreak/>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40.</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R$ 4.500.000,00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 /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2690"/>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23</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0004934-94.2023.8.01.0000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Lançamento de enlaces de fibra óptica redundante para os prédios deste TJAC.</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Prover conectividade de alta velocidade para as unidades do TJAC.</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R$ 1.000.000,00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 /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3021"/>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24</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0004935-79.2023.8.01.0000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Aquisição de ferramentas e insumos de redes e elétricos para manutenção das sala segura do TJAC.</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Prover ferramentas de utilização rotineiras para manutenção dos ambientes computacionais do TJAC.</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R$ 1.000.000,00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 /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2695"/>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25</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0004937-49.2023.8.01.0000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Contratação de solução de gerenciamento de refrigeração remota para salas de TI</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Processo administrativo com vistas a subsidiar contratação de solução de gerenciamento de refrigeração remota para salas de TI, visando dar visi</w:t>
            </w:r>
            <w:r>
              <w:rPr>
                <w:sz w:val="18"/>
                <w:szCs w:val="18"/>
              </w:rPr>
              <w:t>bilidade e controle remoto de temperatura de todas as sala de TI da capital e das comarcas do interior.</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 /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2727"/>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26</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0004938-34.2023.8.01.0000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PDPJ-Br  - Contratação de 3000 licenças para migração dos serviços de e-mail corporativo e continuidade da solução de videoconferência Google Meet.</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Modernizar a solução de e-mail corporativo, utilizando  ferramentas de colaboração, servidor de arquivos e v</w:t>
            </w:r>
            <w:r>
              <w:rPr>
                <w:sz w:val="18"/>
                <w:szCs w:val="18"/>
              </w:rPr>
              <w:t>ideoconferência para gravação de audiências, com requisitos de segurança e atendimento à LGPD.</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3000</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R$ 4.000.000,00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 /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273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27</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0004939-19.2023.8.01.0000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PDPJ-Br - Soluções de segurança para gerenciamento de credenciais e de proteção de endpoint para mitigar chances de ataques cibernéticos.</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Cumprir à Resolução 396/2021 do CNJ, fomentando a capacidade de defesa cibernética, instrumentalizando as equipes de s</w:t>
            </w:r>
            <w:r>
              <w:rPr>
                <w:sz w:val="18"/>
                <w:szCs w:val="18"/>
              </w:rPr>
              <w:t>egurança da informação do TJAC para mitigar eventuais ataques cibernéticos, perda e vazamentos de informação críticas.</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2000</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R$ 1.118.441,66</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 /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2691"/>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28</w:t>
            </w:r>
          </w:p>
        </w:tc>
        <w:tc>
          <w:tcPr>
            <w:tcW w:w="855"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0005014-58.2023.8.01.0000</w:t>
            </w:r>
          </w:p>
        </w:tc>
        <w:tc>
          <w:tcPr>
            <w:tcW w:w="705"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PDPJ-Br - Aquisição de licenças e suporte de ferramenta de orquestração de container, a fim de formar infraestrutura local dinâmica de entrega contínua de aplicações com metodologia DevOps.</w:t>
            </w:r>
          </w:p>
        </w:tc>
        <w:tc>
          <w:tcPr>
            <w:tcW w:w="1725"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Formar infraestrutura local dinâmica de entrega contínua de aplica</w:t>
            </w:r>
            <w:r>
              <w:rPr>
                <w:sz w:val="18"/>
                <w:szCs w:val="18"/>
              </w:rPr>
              <w:t>ções com metodologia DevOps.</w:t>
            </w:r>
          </w:p>
        </w:tc>
        <w:tc>
          <w:tcPr>
            <w:tcW w:w="885"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R$ 2.000.000,00</w:t>
            </w:r>
          </w:p>
        </w:tc>
        <w:tc>
          <w:tcPr>
            <w:tcW w:w="990"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Samuel Braz de Araújo; </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Elson Correia de Oliveir Neto</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Amilar Sales Alves</w:t>
            </w:r>
          </w:p>
        </w:tc>
        <w:tc>
          <w:tcPr>
            <w:tcW w:w="1275"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 /GESIS</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0F6FC6"/>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color w:val="17406D"/>
                <w:sz w:val="22"/>
                <w:szCs w:val="22"/>
              </w:rPr>
            </w:pPr>
            <w:r>
              <w:rPr>
                <w:color w:val="17406D"/>
                <w:sz w:val="18"/>
                <w:szCs w:val="18"/>
              </w:rPr>
              <w:lastRenderedPageBreak/>
              <w:t>29</w:t>
            </w:r>
          </w:p>
        </w:tc>
        <w:tc>
          <w:tcPr>
            <w:tcW w:w="855" w:type="dxa"/>
            <w:tcBorders>
              <w:top w:val="single" w:sz="6" w:space="0" w:color="0F6FC6"/>
              <w:left w:val="single" w:sz="6" w:space="0" w:color="0F6FC6"/>
              <w:bottom w:val="single" w:sz="6" w:space="0" w:color="0F6FC6"/>
              <w:right w:val="single" w:sz="6" w:space="0" w:color="0F6FC6"/>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0007994-46.2021.8.01.0000</w:t>
            </w:r>
          </w:p>
        </w:tc>
        <w:tc>
          <w:tcPr>
            <w:tcW w:w="705" w:type="dxa"/>
            <w:tcBorders>
              <w:top w:val="single" w:sz="6" w:space="0" w:color="0F6FC6"/>
              <w:left w:val="single" w:sz="6" w:space="0" w:color="0F6FC6"/>
              <w:bottom w:val="single" w:sz="6" w:space="0" w:color="0F6FC6"/>
              <w:right w:val="single" w:sz="6" w:space="0" w:color="0F6FC6"/>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0F6FC6"/>
              <w:left w:val="single" w:sz="6" w:space="0" w:color="0F6FC6"/>
              <w:bottom w:val="single" w:sz="6" w:space="0" w:color="0F6FC6"/>
              <w:right w:val="single" w:sz="6" w:space="0" w:color="0F6FC6"/>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PDPJ-Br - Contratação de Empresa Especializada para implantação e sustentação do PJe.</w:t>
            </w:r>
          </w:p>
        </w:tc>
        <w:tc>
          <w:tcPr>
            <w:tcW w:w="1725" w:type="dxa"/>
            <w:tcBorders>
              <w:top w:val="single" w:sz="6" w:space="0" w:color="0F6FC6"/>
              <w:left w:val="single" w:sz="6" w:space="0" w:color="0F6FC6"/>
              <w:bottom w:val="single" w:sz="6" w:space="0" w:color="0F6FC6"/>
              <w:right w:val="single" w:sz="6" w:space="0" w:color="0F6FC6"/>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Prestação de serviços continuados de tecnologia da informação voltada ao desenvolvimento e manutenção evolutiva e adaptativa do sistema de gestão judicial do TJAC, em reg</w:t>
            </w:r>
            <w:r>
              <w:rPr>
                <w:sz w:val="18"/>
                <w:szCs w:val="18"/>
              </w:rPr>
              <w:t>ime de Fábrica de Software de forma remota e presencial, de acordo com os padrões de desempenho e qualidade correspondentes à especialização exigida para o atendimento das demandas relacionadas à evolução da implantação do Processo Judicial Eletrônico – Pj</w:t>
            </w:r>
            <w:r>
              <w:rPr>
                <w:sz w:val="18"/>
                <w:szCs w:val="18"/>
              </w:rPr>
              <w:t>e.</w:t>
            </w:r>
          </w:p>
        </w:tc>
        <w:tc>
          <w:tcPr>
            <w:tcW w:w="885" w:type="dxa"/>
            <w:tcBorders>
              <w:top w:val="single" w:sz="6" w:space="0" w:color="0F6FC6"/>
              <w:left w:val="single" w:sz="6" w:space="0" w:color="0F6FC6"/>
              <w:bottom w:val="single" w:sz="6" w:space="0" w:color="0F6FC6"/>
              <w:right w:val="single" w:sz="6" w:space="0" w:color="0F6FC6"/>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0F6FC6"/>
              <w:left w:val="single" w:sz="6" w:space="0" w:color="0F6FC6"/>
              <w:bottom w:val="single" w:sz="6" w:space="0" w:color="0F6FC6"/>
              <w:right w:val="single" w:sz="6" w:space="0" w:color="0F6FC6"/>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1</w:t>
            </w:r>
          </w:p>
        </w:tc>
        <w:tc>
          <w:tcPr>
            <w:tcW w:w="1140" w:type="dxa"/>
            <w:tcBorders>
              <w:top w:val="single" w:sz="6" w:space="0" w:color="0F6FC6"/>
              <w:left w:val="single" w:sz="6" w:space="0" w:color="0F6FC6"/>
              <w:bottom w:val="single" w:sz="6" w:space="0" w:color="0F6FC6"/>
              <w:right w:val="single" w:sz="6" w:space="0" w:color="0F6FC6"/>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R$ 2.500.000,00</w:t>
            </w:r>
          </w:p>
        </w:tc>
        <w:tc>
          <w:tcPr>
            <w:tcW w:w="990" w:type="dxa"/>
            <w:tcBorders>
              <w:top w:val="single" w:sz="6" w:space="0" w:color="0F6FC6"/>
              <w:left w:val="single" w:sz="6" w:space="0" w:color="0F6FC6"/>
              <w:bottom w:val="single" w:sz="6" w:space="0" w:color="0F6FC6"/>
              <w:right w:val="single" w:sz="6" w:space="0" w:color="0F6FC6"/>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0F6FC6"/>
              <w:left w:val="single" w:sz="6" w:space="0" w:color="0F6FC6"/>
              <w:bottom w:val="single" w:sz="6" w:space="0" w:color="0F6FC6"/>
              <w:right w:val="single" w:sz="6" w:space="0" w:color="0F6FC6"/>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0F6FC6"/>
              <w:left w:val="single" w:sz="6" w:space="0" w:color="0F6FC6"/>
              <w:bottom w:val="single" w:sz="6" w:space="0" w:color="0F6FC6"/>
              <w:right w:val="single" w:sz="6" w:space="0" w:color="0F6FC6"/>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0F6FC6"/>
              <w:left w:val="single" w:sz="6" w:space="0" w:color="0F6FC6"/>
              <w:bottom w:val="single" w:sz="6" w:space="0" w:color="0F6FC6"/>
              <w:right w:val="single" w:sz="6" w:space="0" w:color="0F6FC6"/>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Samuel Braz de Araújo</w:t>
            </w:r>
          </w:p>
        </w:tc>
        <w:tc>
          <w:tcPr>
            <w:tcW w:w="1275" w:type="dxa"/>
            <w:tcBorders>
              <w:top w:val="single" w:sz="6" w:space="0" w:color="0F6FC6"/>
              <w:left w:val="single" w:sz="6" w:space="0" w:color="0F6FC6"/>
              <w:bottom w:val="single" w:sz="6" w:space="0" w:color="0F6FC6"/>
              <w:right w:val="single" w:sz="6" w:space="0" w:color="0F6FC6"/>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Afonso Evangelista Araújo</w:t>
            </w:r>
          </w:p>
        </w:tc>
        <w:tc>
          <w:tcPr>
            <w:tcW w:w="855" w:type="dxa"/>
            <w:tcBorders>
              <w:top w:val="single" w:sz="6" w:space="0" w:color="0F6FC6"/>
              <w:left w:val="single" w:sz="6" w:space="0" w:color="0F6FC6"/>
              <w:bottom w:val="single" w:sz="6" w:space="0" w:color="0F6FC6"/>
              <w:right w:val="single" w:sz="6" w:space="0" w:color="0F6FC6"/>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 /GESIS</w:t>
            </w:r>
          </w:p>
        </w:tc>
        <w:tc>
          <w:tcPr>
            <w:tcW w:w="495" w:type="dxa"/>
            <w:tcBorders>
              <w:top w:val="single" w:sz="6" w:space="0" w:color="CCCCCC"/>
              <w:left w:val="single" w:sz="6" w:space="0" w:color="0F6FC6"/>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2F2F2"/>
                <w:sz w:val="22"/>
                <w:szCs w:val="22"/>
              </w:rPr>
            </w:pPr>
            <w:r>
              <w:rPr>
                <w:color w:val="FFFFFF"/>
                <w:sz w:val="18"/>
                <w:szCs w:val="18"/>
              </w:rPr>
              <w:t>ALTA</w:t>
            </w:r>
          </w:p>
        </w:tc>
      </w:tr>
      <w:tr w:rsidR="007207B7" w:rsidTr="004E4AF8">
        <w:trPr>
          <w:cantSplit/>
          <w:trHeight w:val="273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30</w:t>
            </w:r>
          </w:p>
        </w:tc>
        <w:tc>
          <w:tcPr>
            <w:tcW w:w="855" w:type="dxa"/>
            <w:tcBorders>
              <w:top w:val="single" w:sz="6" w:space="0" w:color="0F6FC6"/>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0006308-48.2023.8.01.0000</w:t>
            </w:r>
          </w:p>
        </w:tc>
        <w:tc>
          <w:tcPr>
            <w:tcW w:w="705" w:type="dxa"/>
            <w:tcBorders>
              <w:top w:val="single" w:sz="6" w:space="0" w:color="0F6FC6"/>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0F6FC6"/>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Aquisição de insumos/suprimentos de informática (uso interno)</w:t>
            </w:r>
          </w:p>
        </w:tc>
        <w:tc>
          <w:tcPr>
            <w:tcW w:w="1725" w:type="dxa"/>
            <w:tcBorders>
              <w:top w:val="single" w:sz="6" w:space="0" w:color="0F6FC6"/>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2.1. A presente demanda visa aprimorar a eficiência operacional, modernizar nossos processos e garantir a qualidade dos serviços prestados aos usuários interno e externo (sociedade acreana), pois com a aquisição de insumos de informática será possível atua</w:t>
            </w:r>
            <w:r>
              <w:rPr>
                <w:sz w:val="18"/>
                <w:szCs w:val="18"/>
              </w:rPr>
              <w:t>lizar e dar manutenção nos sistemas e equipamentos, garantindo maior segurança, velocidade e confiabilidade nas operações. 2.2. Com os equipamentos e sistemas atualizados e funcionais, os profissionais do Tribunal poderão executar suas tarefas de forma mai</w:t>
            </w:r>
            <w:r>
              <w:rPr>
                <w:sz w:val="18"/>
                <w:szCs w:val="18"/>
              </w:rPr>
              <w:t xml:space="preserve">s rápida e eficiente, evitando gargalos operacionais e agilizando os processos administrativos e judiciais, assim como renovação e/ou manutenção de equipamentos de TIC </w:t>
            </w:r>
            <w:r>
              <w:rPr>
                <w:sz w:val="18"/>
                <w:szCs w:val="18"/>
              </w:rPr>
              <w:lastRenderedPageBreak/>
              <w:t>servem tanto para o público interno e externo (doações, cessões, etc), garantindo o apro</w:t>
            </w:r>
            <w:r>
              <w:rPr>
                <w:sz w:val="18"/>
                <w:szCs w:val="18"/>
              </w:rPr>
              <w:t>veitamento de equipamentos bem como atendimento a comunidade e promover a inclusão digital, permitindo a inserção de todos na sociedade da informação, quando da doação de equipamentos a sociedade civil e órgãos que também promovem a inclus]ao digital.</w:t>
            </w:r>
          </w:p>
        </w:tc>
        <w:tc>
          <w:tcPr>
            <w:tcW w:w="885" w:type="dxa"/>
            <w:tcBorders>
              <w:top w:val="single" w:sz="6" w:space="0" w:color="0F6FC6"/>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lastRenderedPageBreak/>
              <w:t>-</w:t>
            </w:r>
          </w:p>
        </w:tc>
        <w:tc>
          <w:tcPr>
            <w:tcW w:w="825" w:type="dxa"/>
            <w:tcBorders>
              <w:top w:val="single" w:sz="6" w:space="0" w:color="0F6FC6"/>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0F6FC6"/>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990" w:type="dxa"/>
            <w:tcBorders>
              <w:top w:val="single" w:sz="6" w:space="0" w:color="0F6FC6"/>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0F6FC6"/>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0F6FC6"/>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0F6FC6"/>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Victor Hugo Lima de Sousa</w:t>
            </w:r>
          </w:p>
        </w:tc>
        <w:tc>
          <w:tcPr>
            <w:tcW w:w="1275" w:type="dxa"/>
            <w:tcBorders>
              <w:top w:val="single" w:sz="6" w:space="0" w:color="0F6FC6"/>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0F6FC6"/>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2829"/>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31</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0005623-41.2023.8.01.0000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Aquisição de Computador Mini Desktop Completo.</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Atender o provimento de infraestrutura de TI para sustentação de todas as aplicações utilizadas no TJAC, tanto no âmbito da capital, quanto do interior.</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1000</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Victor Hugo Lima de Sousa</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DITEC/GESER</w:t>
            </w:r>
          </w:p>
        </w:tc>
        <w:tc>
          <w:tcPr>
            <w:tcW w:w="495" w:type="dxa"/>
            <w:tcBorders>
              <w:top w:val="single" w:sz="6" w:space="0" w:color="CCCCCC"/>
              <w:left w:val="single" w:sz="6" w:space="0" w:color="CCCCCC"/>
              <w:bottom w:val="single" w:sz="6" w:space="0" w:color="59A9F2"/>
              <w:right w:val="single" w:sz="6" w:space="0" w:color="59A9F2"/>
            </w:tcBorders>
            <w:shd w:val="clear" w:color="auto" w:fill="FFC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MÉDIA</w:t>
            </w:r>
          </w:p>
        </w:tc>
      </w:tr>
      <w:tr w:rsidR="007207B7" w:rsidTr="004E4AF8">
        <w:trPr>
          <w:cantSplit/>
          <w:trHeight w:val="273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32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0003807-24.2023.8.01.0000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Nobreak e Geradores</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Considerando que o edifício dos Juizados Especiais Cíveis e Criminais na Cidade da Justiça em Rio Branco, Diretoria de Tecnologia da Informação, Sala Segura da DITEC e Sala Segura em processo de compra e </w:t>
            </w:r>
            <w:r>
              <w:rPr>
                <w:sz w:val="18"/>
                <w:szCs w:val="18"/>
              </w:rPr>
              <w:t>Comarcas do Interior dependem única e exclusivamente da energia fornecida pela Concessionária Energisa e objetivando fornecimento de energia elétrica de forma contínua e ininterrupta, proporcionando o perfeito funcionamento das unidades de armazenamento de</w:t>
            </w:r>
            <w:r>
              <w:rPr>
                <w:sz w:val="18"/>
                <w:szCs w:val="18"/>
              </w:rPr>
              <w:t xml:space="preserve"> dados e de comunicação integrada, gerando eficiência na prestação de serviços administrativos e judiciais. Justifica-se, portanto, a necessidade de aquisição e instalação de grupo gerador de energia, sobretudo nas </w:t>
            </w:r>
            <w:r>
              <w:rPr>
                <w:sz w:val="18"/>
                <w:szCs w:val="18"/>
              </w:rPr>
              <w:lastRenderedPageBreak/>
              <w:t>Comarcas do interior onde os históricos d</w:t>
            </w:r>
            <w:r>
              <w:rPr>
                <w:sz w:val="18"/>
                <w:szCs w:val="18"/>
              </w:rPr>
              <w:t>e oscilação de energia são constantes podendo causar danos, principalmente, nos equipamentos de tecnologia. E ainda, por estarmos adquirindo novos servidores para todas as Comarcas. O principal objetivo desta solução é oferecer alta disponibilidade de ener</w:t>
            </w:r>
            <w:r>
              <w:rPr>
                <w:sz w:val="18"/>
                <w:szCs w:val="18"/>
              </w:rPr>
              <w:t>gia elétrica para o funcionamento dos equipamentos contidos nos prédios dos Juizados Especiais Cíveis e Criminais na Cidade da Justiça em Rio Branco, Diretoria de Tecnologia da Informação, Sala Segura da DITEC e Sala Segura em processo de compra e Comarcas</w:t>
            </w:r>
            <w:r>
              <w:rPr>
                <w:sz w:val="18"/>
                <w:szCs w:val="18"/>
              </w:rPr>
              <w:t xml:space="preserve"> do Interior e garantir a continuidade dos serviços do Poder Judiciário do Acre.</w:t>
            </w:r>
          </w:p>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 xml:space="preserve">Considerando que as oscilações e quedas recorrentes da rede elétrica fornecida </w:t>
            </w:r>
            <w:r>
              <w:rPr>
                <w:sz w:val="18"/>
                <w:szCs w:val="18"/>
              </w:rPr>
              <w:lastRenderedPageBreak/>
              <w:t>pela Concessionária Energisa, principalmente no interior do Estado, acarretam em queima de equip</w:t>
            </w:r>
            <w:r>
              <w:rPr>
                <w:sz w:val="18"/>
                <w:szCs w:val="18"/>
              </w:rPr>
              <w:t>amentos de informática e tendo em vista que os Nobreaks asseguram proteção contra quedas, picos ou quaisquer variações indesejáveis nas características da energia fornecida pela concessionária Energisa, impedindo potenciais danos aos equipamentos e a perda</w:t>
            </w:r>
            <w:r>
              <w:rPr>
                <w:sz w:val="18"/>
                <w:szCs w:val="18"/>
              </w:rPr>
              <w:t xml:space="preserve"> de tarefas, trabalhos e relatórios com a súbita interrupção no fornecimento de energia ou variação de tensão, necessário portanto a aquisição, também, de nobreaks.</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lastRenderedPageBreak/>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3110</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Jean Carlos Nery</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2833"/>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33</w:t>
            </w:r>
          </w:p>
        </w:tc>
        <w:tc>
          <w:tcPr>
            <w:tcW w:w="855" w:type="dxa"/>
            <w:tcBorders>
              <w:top w:val="single" w:sz="6" w:space="0" w:color="59A9F2"/>
              <w:left w:val="single" w:sz="6" w:space="0" w:color="59A9F2"/>
              <w:bottom w:val="single" w:sz="6" w:space="0" w:color="2191C9"/>
              <w:right w:val="single" w:sz="6" w:space="0" w:color="59A9F2"/>
            </w:tcBorders>
            <w:tcMar>
              <w:top w:w="0" w:type="dxa"/>
              <w:left w:w="40" w:type="dxa"/>
              <w:bottom w:w="0" w:type="dxa"/>
              <w:right w:w="40" w:type="dxa"/>
            </w:tcMar>
            <w:vAlign w:val="center"/>
          </w:tcPr>
          <w:p w:rsidR="004E4AF8" w:rsidRDefault="004E4AF8">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p>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0005623-41.2023.8.01.0000</w:t>
            </w:r>
          </w:p>
        </w:tc>
        <w:tc>
          <w:tcPr>
            <w:tcW w:w="705" w:type="dxa"/>
            <w:tcBorders>
              <w:top w:val="single" w:sz="6" w:space="0" w:color="CCCCCC"/>
              <w:left w:val="single" w:sz="6" w:space="0" w:color="59A9F2"/>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WorkStation para DITEC</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Atender o provimento de infraestrutura de TI para sustentação de todas as aplicações utilizadas no TJAC.</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50</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Victor Hugo Lima de Sousa</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 GESER</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1402"/>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2191C9"/>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34</w:t>
            </w:r>
          </w:p>
        </w:tc>
        <w:tc>
          <w:tcPr>
            <w:tcW w:w="855" w:type="dxa"/>
            <w:tcBorders>
              <w:top w:val="single" w:sz="6" w:space="0" w:color="2191C9"/>
              <w:left w:val="single" w:sz="6" w:space="0" w:color="2191C9"/>
              <w:bottom w:val="single" w:sz="6" w:space="0" w:color="2191C9"/>
              <w:right w:val="single" w:sz="6" w:space="0" w:color="2191C9"/>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0002625</w:t>
            </w:r>
            <w:r>
              <w:rPr>
                <w:sz w:val="18"/>
                <w:szCs w:val="18"/>
              </w:rPr>
              <w:t>-66.2024.8.01.0000</w:t>
            </w:r>
          </w:p>
        </w:tc>
        <w:tc>
          <w:tcPr>
            <w:tcW w:w="705" w:type="dxa"/>
            <w:tcBorders>
              <w:top w:val="single" w:sz="6" w:space="0" w:color="CCCCCC"/>
              <w:left w:val="single" w:sz="6" w:space="0" w:color="2191C9"/>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Renovação de Garantias sistema Polycom</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Atender o provimento de infraestrutura de TI para sustentação de todas as aplicações utilizadas no TJAC, tanto no âmbito da capital, quanto do interior.</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35</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R$ 4.000.000,00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404"/>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35</w:t>
            </w:r>
          </w:p>
        </w:tc>
        <w:tc>
          <w:tcPr>
            <w:tcW w:w="855" w:type="dxa"/>
            <w:tcBorders>
              <w:top w:val="single" w:sz="6" w:space="0" w:color="2191C9"/>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0009193-35.2023.8.01.0000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Adequação da Sala de TI do Juizados Cíveis ou Sala da DITEC para receber equipe da GESEG. Instalação de NOC/SOC no TJAC.</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Atender o provimento de infraestrutura de TI para sustentação de todas as aplicações utiliza</w:t>
            </w:r>
            <w:r>
              <w:rPr>
                <w:sz w:val="18"/>
                <w:szCs w:val="18"/>
              </w:rPr>
              <w:t>das no TJAC</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1</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R$ 4.000.000,00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188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36</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0009222-85.2023.8.01.0000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Expansão do Licenciamento do Antivirus + Solução de EDR</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Expansão do sistema de antivirus atual com adição de funcionalidade de EDR para fomento da segurança da informação de endpoints.</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R$ 2.000.000,00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417"/>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37</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Ampliação da camada de core de Rede com aquisição de ativos de rede.</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Atender o provimento de infraestrutura de TI para sustentação de todas as aplicações utilizadas no TJAC.</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2F2F2"/>
                <w:sz w:val="22"/>
                <w:szCs w:val="22"/>
              </w:rPr>
            </w:pPr>
            <w:r>
              <w:rPr>
                <w:color w:val="F2F2F2"/>
                <w:sz w:val="18"/>
                <w:szCs w:val="18"/>
              </w:rPr>
              <w:t>ALTA</w:t>
            </w:r>
          </w:p>
        </w:tc>
      </w:tr>
      <w:tr w:rsidR="007207B7" w:rsidTr="004E4AF8">
        <w:trPr>
          <w:cantSplit/>
          <w:trHeight w:val="1254"/>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38</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0009221-03.2023.8.01.0000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Aquisição de Software de Gestão de Credenciais.</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Aquisição de software de gestão de credenciais e acessos externos para fomentar a segurança de acesso a sistema deste TJAC.</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r>
              <w:rPr>
                <w:b/>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R$ 2.000.000,00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413"/>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39</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Adquirir solução de ZTNA + 2FA.</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Atender o provimento de infraestrutura de TI para sustentação de todas as aplicações utilizadas no TJAC.</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r>
              <w:rPr>
                <w:b/>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500</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0000"/>
                <w:sz w:val="22"/>
                <w:szCs w:val="22"/>
              </w:rPr>
            </w:pPr>
            <w:r>
              <w:rPr>
                <w:color w:val="F2F2F2"/>
                <w:sz w:val="18"/>
                <w:szCs w:val="18"/>
              </w:rPr>
              <w:t>ALT</w:t>
            </w:r>
            <w:r>
              <w:rPr>
                <w:color w:val="FF0000"/>
                <w:sz w:val="18"/>
                <w:szCs w:val="18"/>
              </w:rPr>
              <w:t>A</w:t>
            </w: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40</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0009220-18.2023.8.01.0000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Aquisição de ferramenta de segurança em software de virtualização NSX</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Atender o provimento de infraestrutura de TI para sustentação de todas as aplicações utilizadas no TJAC</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32</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R$ 3.000.000,00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Raquel Cunha da Conceiçã</w:t>
            </w:r>
            <w:r>
              <w:rPr>
                <w:sz w:val="18"/>
                <w:szCs w:val="18"/>
              </w:rPr>
              <w:t>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41</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0006695-63.2023.8.01.0000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DITEC-GESEG</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Aquisição de solução de rede SAN - Storage Area Network</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Aquisição de equipamentos de rede SAN para utilização juntamente com equipamentos de armazenamento Storage, a fim de prover alta velocidade de transferencia de dados às aplicações e sistemas armazenados.</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R$ 4.000.000,00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 xml:space="preserve">Elson Correia de Oliveira </w:t>
            </w:r>
            <w:r>
              <w:rPr>
                <w:sz w:val="18"/>
                <w:szCs w:val="18"/>
              </w:rPr>
              <w:t>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 GESEG</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1803"/>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42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0006696-48.2023.8.01.0000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Ativos de Rede (expansão)</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Expansão de ativos de rede com vistas a dar alta disponibilidade os 2 datacenters que estarão em funcionamento a partir de 2024. Além disso, implementar protocolos de Network Access Control fomentando a segurança de acesso à rede.</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2.000.000,00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767"/>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43</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0009223-70.2023.8.01.0000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Aquisição de Ferramentas de gestão de AD</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Aquisição de ferramentas de gestão de active directory para delegação e fomento na segurança em ambientes AD.</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R$ 500.000,00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44</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0009225-40.2023.8.01.0000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Aquisição de Ferramentas de Gestão e Planejamento</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Ferramentas de gestão de projetos, orçamentos, fluxos e equipes, com vistas a controlar as ações de forma centralizada e com relatoria dinamica.</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R$ 100.000,00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45</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0009230-62.2023.8.01.0000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Retrofit da Sala Segura atual + unificação dos contratos de manuntenção</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Modernização da atual sala segura DITEC, implementando padrões nacionais e internacionais para ambientes de alta disponibilidade indoor.</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R$ 3.500.00</w:t>
            </w:r>
            <w:r>
              <w:rPr>
                <w:sz w:val="18"/>
                <w:szCs w:val="18"/>
              </w:rPr>
              <w:t>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46</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0009232-32.2023.8.01.0000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Soluções de Segurança da Informação</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Ferramentas e soluções que visam fomentar a segurança da informação, com vistas a dar cumprimento a Res. 396/2021 e fomentar a maturidade em segurança.</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R$ 4.500.000,00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47</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0009233-17.2023.8.01.0000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Aquisição de Infraestrutura em nuvem com link dedicado</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Aquisição de infraestrutura em nuvem para sustentar sistemas deste TJAC em ambientes multiCloud com link dedicado de acesso a nuvem pública.</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R$ 2.500.000,00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El</w:t>
            </w:r>
            <w:r>
              <w:rPr>
                <w:sz w:val="18"/>
                <w:szCs w:val="18"/>
              </w:rPr>
              <w:t>son Correia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48</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0009234-02.2023.8.01.0000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Aquisição de pacote de escritório e colaboração em nuvem (MS365 ou Google Workspace)</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Aquisição de ferramentas de colaboração e pacote de escritório em cloud, incluindo espaço de armazenamento, email, ferramentas de video conferencia e etc.</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R$ 7.000.000,00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49</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0009068-67.2023.8.01.0000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Licitação de Links Interurbanos, Internet e Satelitais</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Contratação de serviços de Links Interurbanos, Internet e Satelitais para todas as comarcas da capital e interior.</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R$ 3.000.000,00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50</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0009243-61.2023.8.01.0000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Licitação de Manutenção Sala Segura</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Contrato de manutenção dos sistemas elétricos, de segurança e monitoramento da sala segura DITEC.</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R$ 700.000,00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Elson Correia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51</w:t>
            </w:r>
          </w:p>
        </w:tc>
        <w:tc>
          <w:tcPr>
            <w:tcW w:w="855" w:type="dxa"/>
            <w:tcBorders>
              <w:top w:val="single" w:sz="6" w:space="0" w:color="CCCCCC"/>
              <w:left w:val="single" w:sz="6" w:space="0" w:color="CCCCCC"/>
              <w:bottom w:val="single" w:sz="6" w:space="0" w:color="0F6FC6"/>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18"/>
                <w:szCs w:val="18"/>
              </w:rPr>
              <w:t>0009688-79.2023.8.01.0000</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Licenças de software Red Hat</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contratação de empresas especializadas no fornecimento de licenças do software Red Hat e tecnologia de conteinerização, incluindo sustentação, consultoria especializada e transferência de conhecimento</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Contrato 171/2023</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R$ 2.626.796,00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2023</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2023</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Elson C</w:t>
            </w:r>
            <w:r>
              <w:rPr>
                <w:sz w:val="18"/>
                <w:szCs w:val="18"/>
              </w:rPr>
              <w:t>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0F6FC6"/>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52</w:t>
            </w:r>
          </w:p>
        </w:tc>
        <w:tc>
          <w:tcPr>
            <w:tcW w:w="855"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18"/>
                <w:szCs w:val="18"/>
              </w:rPr>
              <w:t>0000119-20.2024.8.01.0000</w:t>
            </w:r>
          </w:p>
        </w:tc>
        <w:tc>
          <w:tcPr>
            <w:tcW w:w="705"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Visando aprimorar o conhecimento dos servidores, bem como os serviços prestados por esta administração em painéis de BI.</w:t>
            </w:r>
          </w:p>
        </w:tc>
        <w:tc>
          <w:tcPr>
            <w:tcW w:w="1725"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 área de Tecnologia da Informação e Comunicação (TIC) está sempre atenta ao surgimento de novas tecnologias, essenciais para as atividades diárias dos servidores e jurisdicionados deste Tribunal de Justiça. Estes avanços requerem um aprendizado contínuo p</w:t>
            </w:r>
            <w:r>
              <w:rPr>
                <w:sz w:val="18"/>
                <w:szCs w:val="18"/>
              </w:rPr>
              <w:t>or parte da equipe técnica, responsável por implementá-los e mantê-los. Além disso, as tecnologias padrão adotadas no TJAC são atualizadas regularmente, exigindo revisões constantes para manter a capacitação dos servidores da DITEC.  Este processo não se l</w:t>
            </w:r>
            <w:r>
              <w:rPr>
                <w:sz w:val="18"/>
                <w:szCs w:val="18"/>
              </w:rPr>
              <w:t xml:space="preserve">imita apenas às tecnologias já adotadas, mas exige um treinamento contínuo em outras tecnologias disponíveis, mantendo o Tribunal alinhado com as melhores práticas nacionais e </w:t>
            </w:r>
            <w:r>
              <w:rPr>
                <w:sz w:val="18"/>
                <w:szCs w:val="18"/>
              </w:rPr>
              <w:lastRenderedPageBreak/>
              <w:t xml:space="preserve">internacionais de governança e gerenciamento de serviços de TIC. </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Desta forma, a</w:t>
            </w:r>
            <w:r>
              <w:rPr>
                <w:sz w:val="18"/>
                <w:szCs w:val="18"/>
              </w:rPr>
              <w:t xml:space="preserve"> aquisição de uma plataforma de ensino, capacitação e treinamento em soluções tecnológica, se faz necessário para sanar a necessidade de conhecimento.</w:t>
            </w:r>
          </w:p>
        </w:tc>
        <w:tc>
          <w:tcPr>
            <w:tcW w:w="885"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lastRenderedPageBreak/>
              <w:t>-</w:t>
            </w:r>
          </w:p>
        </w:tc>
        <w:tc>
          <w:tcPr>
            <w:tcW w:w="825"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10</w:t>
            </w:r>
          </w:p>
        </w:tc>
        <w:tc>
          <w:tcPr>
            <w:tcW w:w="1140"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R$ 30.300,00</w:t>
            </w:r>
          </w:p>
        </w:tc>
        <w:tc>
          <w:tcPr>
            <w:tcW w:w="990"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2023</w:t>
            </w:r>
          </w:p>
        </w:tc>
        <w:tc>
          <w:tcPr>
            <w:tcW w:w="855"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140"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75"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855" w:type="dxa"/>
            <w:tcBorders>
              <w:top w:val="single" w:sz="6" w:space="0" w:color="CCCCCC"/>
              <w:left w:val="single" w:sz="6" w:space="0" w:color="CCCCCC"/>
              <w:bottom w:val="single" w:sz="6" w:space="0" w:color="000000"/>
              <w:right w:val="single" w:sz="6" w:space="0" w:color="59A9F2"/>
            </w:tcBorders>
            <w:tcMar>
              <w:top w:w="0" w:type="dxa"/>
              <w:left w:w="40" w:type="dxa"/>
              <w:bottom w:w="0" w:type="dxa"/>
              <w:right w:w="40" w:type="dxa"/>
            </w:tcMar>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495" w:type="dxa"/>
            <w:tcBorders>
              <w:top w:val="single" w:sz="6" w:space="0" w:color="CCCCCC"/>
              <w:left w:val="single" w:sz="6" w:space="0" w:color="CCCCCC"/>
              <w:bottom w:val="single" w:sz="6" w:space="0" w:color="000000"/>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000000"/>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53</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18"/>
                <w:szCs w:val="18"/>
              </w:rPr>
              <w:t>0009257-45.2023.8.01.0000</w:t>
            </w:r>
          </w:p>
        </w:tc>
        <w:tc>
          <w:tcPr>
            <w:tcW w:w="7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18"/>
                <w:szCs w:val="18"/>
              </w:rPr>
              <w:t>DITEC</w:t>
            </w:r>
          </w:p>
        </w:tc>
        <w:tc>
          <w:tcPr>
            <w:tcW w:w="16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18"/>
                <w:szCs w:val="18"/>
              </w:rPr>
              <w:t>Aquisição de Banco de Dados Mysql + Suporte</w:t>
            </w:r>
          </w:p>
        </w:tc>
        <w:tc>
          <w:tcPr>
            <w:tcW w:w="17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4E4AF8">
            <w:pPr>
              <w:spacing w:before="240" w:after="24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18"/>
                <w:szCs w:val="18"/>
              </w:rPr>
              <w:t>-</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18"/>
                <w:szCs w:val="18"/>
              </w:rPr>
              <w:t>-</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D62302">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18"/>
                <w:szCs w:val="18"/>
              </w:rPr>
              <w:t>R$ 3.000.000,00</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4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4E4AF8" w:rsidRDefault="004E4AF8">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t>54</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hyperlink r:id="rId14">
              <w:r>
                <w:rPr>
                  <w:color w:val="1155CC"/>
                  <w:sz w:val="16"/>
                  <w:szCs w:val="16"/>
                  <w:u w:val="single"/>
                </w:rPr>
                <w:t>0000119-20.2024.8.01.0000</w:t>
              </w:r>
            </w:hyperlink>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Cursos de capacitação em Design, Produção e Orquestração de Dados em Business Intelligence</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Visando aprimorar o conhecimento dos servidores, bem como os serviços prestados por esta administração em painéis de BI.</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R$ 30.300,00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Josana Aymara Pereira Nishihira</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 GESIS</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55</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hyperlink r:id="rId15">
              <w:r>
                <w:rPr>
                  <w:color w:val="1155CC"/>
                  <w:sz w:val="16"/>
                  <w:szCs w:val="16"/>
                  <w:u w:val="single"/>
                </w:rPr>
                <w:t>0002025-45.2024.8.01.0000</w:t>
              </w:r>
            </w:hyperlink>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KNIME</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 KNIME (Konstanz Information Miner) é uma plataforma de análise de dados e integração de dados que oferece uma ampla gama de recursos para aquisição, preparação, análise e visualização de dados em um ambiente público. Aqui está uma descrição da ferramenta</w:t>
            </w:r>
            <w:r>
              <w:rPr>
                <w:sz w:val="18"/>
                <w:szCs w:val="18"/>
              </w:rPr>
              <w:t xml:space="preserve"> KNIME em um contexto de ambiente público:Aquisição de Dados:</w:t>
            </w:r>
          </w:p>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 KNIME fornece uma variedade de ferramentas e nodes para adquirir dados de várias fontes, incluindo bancos de dados, arquivos locais, serviços da web, APIs e fontes de dados na nuvem. Ele supor</w:t>
            </w:r>
            <w:r>
              <w:rPr>
                <w:sz w:val="18"/>
                <w:szCs w:val="18"/>
              </w:rPr>
              <w:t>ta uma ampla gama de formatos de arquivo e protocolos de comunicação.</w:t>
            </w:r>
          </w:p>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Preparação de Dados:Após a aquisição dos dados, o KNIME permite </w:t>
            </w:r>
            <w:r>
              <w:rPr>
                <w:sz w:val="18"/>
                <w:szCs w:val="18"/>
              </w:rPr>
              <w:lastRenderedPageBreak/>
              <w:t>realizar uma série de transformações e manipulações nos dados para prepará-los para análise. Isso inclui limpeza de dados,</w:t>
            </w:r>
            <w:r>
              <w:rPr>
                <w:sz w:val="18"/>
                <w:szCs w:val="18"/>
              </w:rPr>
              <w:t xml:space="preserve"> combinação de conjuntos de dados, enriquecimento de dados, transformações de formato e muito mais.</w:t>
            </w:r>
          </w:p>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Análise de Dados:O KNIME oferece uma ampla variedade de ferramentas e algoritmos para realizar análises estatísticas e minerar insights nos dados. Ele supor</w:t>
            </w:r>
            <w:r>
              <w:rPr>
                <w:sz w:val="18"/>
                <w:szCs w:val="18"/>
              </w:rPr>
              <w:t>ta técnicas de análise descritiva, análise preditiva, mineração de texto, aprendizado de máquina e visualização de dados.</w:t>
            </w:r>
          </w:p>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Integração de Dados:Além de adquirir e preparar dados, o KNIME permite integrar dados de diferentes fontes e sistemas em um único flux</w:t>
            </w:r>
            <w:r>
              <w:rPr>
                <w:sz w:val="18"/>
                <w:szCs w:val="18"/>
              </w:rPr>
              <w:t xml:space="preserve">o de </w:t>
            </w:r>
            <w:r>
              <w:rPr>
                <w:sz w:val="18"/>
                <w:szCs w:val="18"/>
              </w:rPr>
              <w:lastRenderedPageBreak/>
              <w:t>trabalho. Isso facilita a criação de pipelines de dados complexos que abrangem várias etapas de processamento.</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lastRenderedPageBreak/>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Valor de acordo com a necessidade da organização</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Josana Aymara Pereira Nishihira</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 GESIS</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56</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hyperlink r:id="rId16">
              <w:r>
                <w:rPr>
                  <w:color w:val="1155CC"/>
                  <w:sz w:val="16"/>
                  <w:szCs w:val="16"/>
                  <w:u w:val="single"/>
                </w:rPr>
                <w:t>0002030-67.2024.8.01.0000</w:t>
              </w:r>
            </w:hyperlink>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Figma</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A obtenção da licença do Software FIGMA é imprescindível. Atualmente, os designs UX/UI desenvolvidos para</w:t>
            </w:r>
            <w:r>
              <w:rPr>
                <w:sz w:val="18"/>
                <w:szCs w:val="18"/>
              </w:rPr>
              <w:t xml:space="preserve"> a GESIS estão na conta pessoal da colaboradora Benedita, o que os torna inacessíveis à gestão em sua ausência. Além disso, a utilização da ferramenta em âmbito pessoal implica em limitações que afetam a produção dos designs.</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R$45 por mês</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Josana Aymara Pereira Nishihira</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 GESIS</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57</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hyperlink r:id="rId17">
              <w:r>
                <w:rPr>
                  <w:color w:val="1155CC"/>
                  <w:sz w:val="16"/>
                  <w:szCs w:val="16"/>
                  <w:u w:val="single"/>
                </w:rPr>
                <w:t>0002031-52.2024.8.01.0000</w:t>
              </w:r>
            </w:hyperlink>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JetBrains (Pacote com intelije e outras ferramentas) All Products Pack</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Funcionalidades Avançadas: A IntelliJ IDEA oferece uma variedade de funcionalidades avançadas que podem aumentar significativamente a produtividade do desenvolvedor. Isso inclui ferrame</w:t>
            </w:r>
            <w:r>
              <w:rPr>
                <w:sz w:val="18"/>
                <w:szCs w:val="18"/>
              </w:rPr>
              <w:t>ntas de refatoração, inspeção de código, suporte a depuração, integração com sistemas de controle de versão, e muito mais.</w:t>
            </w:r>
          </w:p>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-Suporte a Múltiplas Linguagens: Além de ser amplamente utilizada para desenvolvimento em Java, a IntelliJ IDEA oferece suporte a vár</w:t>
            </w:r>
            <w:r>
              <w:rPr>
                <w:sz w:val="18"/>
                <w:szCs w:val="18"/>
              </w:rPr>
              <w:t xml:space="preserve">ias outras linguagens de programação, como Kotlin, Groovy, Scala, JavaScript, TypeScript, HTML, CSS, python, entre outras. Isso permite que os desenvolvedores trabalhem em projetos que </w:t>
            </w:r>
            <w:r>
              <w:rPr>
                <w:sz w:val="18"/>
                <w:szCs w:val="18"/>
              </w:rPr>
              <w:lastRenderedPageBreak/>
              <w:t>envolvem várias tecnologias.</w:t>
            </w:r>
          </w:p>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-Integração com Frameworks e Tecnologias: </w:t>
            </w:r>
            <w:r>
              <w:rPr>
                <w:sz w:val="18"/>
                <w:szCs w:val="18"/>
              </w:rPr>
              <w:t>possui uma integração robusta com uma variedade de frameworks e tecnologias, como Spring, Hibernate, JavaFX, Android, Angular, React, entre outros. Essa integração facilita o desenvolvimento em ambientes que usam essas tecnologias.</w:t>
            </w:r>
          </w:p>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-Constantes Atualizações</w:t>
            </w:r>
            <w:r>
              <w:rPr>
                <w:sz w:val="18"/>
                <w:szCs w:val="18"/>
              </w:rPr>
              <w:t xml:space="preserve"> e Melhorias: A JetBrains continua aprimorando a IntelliJ IDEA com atualizações regulares, fornecendo correções de bugs, melhorias de desempenho e suporte a novas tecnologias. Isso garante que os desenvolvedores tenham acesso às últimas melhorias e recurso</w:t>
            </w:r>
            <w:r>
              <w:rPr>
                <w:sz w:val="18"/>
                <w:szCs w:val="18"/>
              </w:rPr>
              <w:t>s.</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lastRenderedPageBreak/>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8</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US $779.00 por usuário</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Josana Aymara Pereira Nishihira</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sz w:val="18"/>
                <w:szCs w:val="18"/>
              </w:rPr>
              <w:t>DITEC/ GESIS</w:t>
            </w:r>
          </w:p>
        </w:tc>
        <w:tc>
          <w:tcPr>
            <w:tcW w:w="495" w:type="dxa"/>
            <w:tcBorders>
              <w:top w:val="single" w:sz="6" w:space="0" w:color="CCCCCC"/>
              <w:left w:val="single" w:sz="6" w:space="0" w:color="CCCCCC"/>
              <w:bottom w:val="single" w:sz="6" w:space="0" w:color="59A9F2"/>
              <w:right w:val="single" w:sz="6" w:space="0" w:color="59A9F2"/>
            </w:tcBorders>
            <w:shd w:val="clear" w:color="auto" w:fill="FF0000"/>
            <w:tcMar>
              <w:top w:w="0" w:type="dxa"/>
              <w:left w:w="40" w:type="dxa"/>
              <w:bottom w:w="0" w:type="dxa"/>
              <w:right w:w="40" w:type="dxa"/>
            </w:tcMar>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r>
              <w:rPr>
                <w:color w:val="FFFFFF"/>
                <w:sz w:val="18"/>
                <w:szCs w:val="18"/>
              </w:rPr>
              <w:t>ALTA</w:t>
            </w: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rFonts w:ascii="Calibri" w:eastAsia="Calibri" w:hAnsi="Calibri" w:cs="Calibri"/>
                <w:sz w:val="22"/>
                <w:szCs w:val="22"/>
              </w:rPr>
            </w:pPr>
            <w:r>
              <w:rPr>
                <w:sz w:val="18"/>
                <w:szCs w:val="18"/>
              </w:rPr>
              <w:lastRenderedPageBreak/>
              <w:t>58</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hyperlink r:id="rId18">
              <w:r>
                <w:rPr>
                  <w:color w:val="1155CC"/>
                  <w:sz w:val="16"/>
                  <w:szCs w:val="16"/>
                  <w:u w:val="single"/>
                </w:rPr>
                <w:t>0002032-37.2024.8.01.0000</w:t>
              </w:r>
            </w:hyperlink>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GitHub Copilot</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-É uma ferramenta de programação assistida por IA desenvolvida pela GitHub em parceria com a OpenAI. Aqui estão alguns motivos pelos quais alguns desenvolvedores podem considerar a compra ou utilização do GitHub Copilot:</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-Aumento de Produtividade: GitHub Copilot pode acelerar o processo de desenvolvimento, gerando código automaticamente com base nas sugestões dadas. Isso pode economizar tempo, especialmente para tarefas repetitivas ou padrões de código comuns.</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-Assistência</w:t>
            </w:r>
            <w:r>
              <w:rPr>
                <w:sz w:val="18"/>
                <w:szCs w:val="18"/>
              </w:rPr>
              <w:t xml:space="preserve"> em Escrita de Código: A ferramenta auxilia na escrita de código fornecendo sugestões contextuais enquanto você digita. Isso pode ajudar os </w:t>
            </w:r>
            <w:r>
              <w:rPr>
                <w:sz w:val="18"/>
                <w:szCs w:val="18"/>
              </w:rPr>
              <w:lastRenderedPageBreak/>
              <w:t>desenvolvedores a evitar erros comuns e a seguir as melhores práticas de codificação.</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-Aprendizado de Novas Linguage</w:t>
            </w:r>
            <w:r>
              <w:rPr>
                <w:sz w:val="18"/>
                <w:szCs w:val="18"/>
              </w:rPr>
              <w:t>ns e Frameworks: Para desenvolvedores que estão aprendendo novas linguagens de programação ou frameworks, o GitHub Copilot pode fornecer exemplos úteis e acelerar o processo de aprendizagem ao gerar código funcional.</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-Integração com Editores Populares: O G</w:t>
            </w:r>
            <w:r>
              <w:rPr>
                <w:sz w:val="18"/>
                <w:szCs w:val="18"/>
              </w:rPr>
              <w:t>itHub Copilot pode ser integrado a editores populares, como Visual Studio Code, tornando-o acessível para uma ampla gama de desenvolvedores que já utilizam essas ferramentas.</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-Colaboração e Revisão de Código: A ferramenta pode ser útil durante a </w:t>
            </w:r>
            <w:r>
              <w:rPr>
                <w:sz w:val="18"/>
                <w:szCs w:val="18"/>
              </w:rPr>
              <w:lastRenderedPageBreak/>
              <w:t>colaboraçã</w:t>
            </w:r>
            <w:r>
              <w:rPr>
                <w:sz w:val="18"/>
                <w:szCs w:val="18"/>
              </w:rPr>
              <w:t>o em projetos, fornecendo sugestões de código durante a revisão de pull requests. Isso pode melhorar a consistência e a qualidade do código.</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-Geração de Testes e Documentação: Além de gerar código de implementação, o GitHub Copilot também pode ajudar na cr</w:t>
            </w:r>
            <w:r>
              <w:rPr>
                <w:sz w:val="18"/>
                <w:szCs w:val="18"/>
              </w:rPr>
              <w:t>iação de testes e documentação associada ao código.</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-Suporte a Diversas Linguagens: O GitHub Copilot suporta várias linguagens de programação, o que o torna versátil para desenvolvedores que trabalham em diferentes ambientes e tecnologias.</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lastRenderedPageBreak/>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8</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US $21 por u</w:t>
            </w:r>
            <w:r>
              <w:rPr>
                <w:sz w:val="18"/>
                <w:szCs w:val="18"/>
              </w:rPr>
              <w:t>suário</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Josana Aymara Pereira Nishihira</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Raquel Cunha da Conceição</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sz w:val="18"/>
                <w:szCs w:val="18"/>
              </w:rPr>
              <w:t>DITEC/ GESIS</w:t>
            </w:r>
          </w:p>
        </w:tc>
        <w:tc>
          <w:tcPr>
            <w:tcW w:w="495" w:type="dxa"/>
            <w:shd w:val="clear" w:color="auto" w:fill="FF0000"/>
            <w:tcMar>
              <w:top w:w="100" w:type="dxa"/>
              <w:left w:w="100" w:type="dxa"/>
              <w:bottom w:w="100" w:type="dxa"/>
              <w:right w:w="100" w:type="dxa"/>
            </w:tcMa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r>
              <w:rPr>
                <w:rFonts w:ascii="Calibri" w:eastAsia="Calibri" w:hAnsi="Calibri" w:cs="Calibri"/>
                <w:color w:val="FFFFFF"/>
                <w:sz w:val="22"/>
                <w:szCs w:val="22"/>
              </w:rPr>
              <w:t>ALTA</w:t>
            </w: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sz w:val="18"/>
                <w:szCs w:val="18"/>
              </w:rPr>
            </w:pPr>
            <w:r>
              <w:rPr>
                <w:sz w:val="18"/>
                <w:szCs w:val="18"/>
              </w:rPr>
              <w:lastRenderedPageBreak/>
              <w:t>59</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2024-94</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Contratação de Empresa de Telecomunicação para a prestação de serviços de acesso à rede mundial de computadores (Internet)</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Contratação de Empresa de Telecomunicação para a prestação de serviços de acesso à rede mundial de</w:t>
            </w:r>
          </w:p>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computadores (Internet) Via Satélite, redundante para as localidades: Escola Nova Esperança - BR 317, km</w:t>
            </w:r>
          </w:p>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55, Ramal Antonio Costa km 11, S/N PA Alcobras, Zona</w:t>
            </w:r>
            <w:r>
              <w:rPr>
                <w:sz w:val="18"/>
                <w:szCs w:val="18"/>
              </w:rPr>
              <w:t xml:space="preserve"> Rural, CEP: 69931-000 - Capixaba - AC; Escola</w:t>
            </w:r>
          </w:p>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São Luiz Gonzaga - Rua Uaquiri, 650 BR 364 km 60, Centro, 69929-000 - Distrito de Vila Campinas;</w:t>
            </w:r>
          </w:p>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Aldeia Indigena, Poyanawa - Barão - Ipiranga em Mâncio Lima ( 18 km de Mâncio Lima) e Aldeia Indigena,</w:t>
            </w:r>
          </w:p>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Katukina </w:t>
            </w:r>
            <w:r>
              <w:rPr>
                <w:sz w:val="18"/>
                <w:szCs w:val="18"/>
              </w:rPr>
              <w:t xml:space="preserve">- Local aldeia Kamãnawa - Cruzeiro do Sul, </w:t>
            </w:r>
            <w:r>
              <w:rPr>
                <w:sz w:val="18"/>
                <w:szCs w:val="18"/>
              </w:rPr>
              <w:lastRenderedPageBreak/>
              <w:t>(Cruzeiro do Sul pra terra indígena são 64 km)</w:t>
            </w:r>
          </w:p>
          <w:p w:rsidR="004E4AF8" w:rsidRDefault="004E4AF8">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28</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R$ 147.200,00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Elson Correia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José Carlos Martins Junior</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DITEC</w:t>
            </w:r>
          </w:p>
        </w:tc>
        <w:tc>
          <w:tcPr>
            <w:tcW w:w="495" w:type="dxa"/>
            <w:shd w:val="clear" w:color="auto" w:fill="FF0000"/>
            <w:tcMar>
              <w:top w:w="100" w:type="dxa"/>
              <w:left w:w="100" w:type="dxa"/>
              <w:bottom w:w="100" w:type="dxa"/>
              <w:right w:w="100" w:type="dxa"/>
            </w:tcMar>
          </w:tcPr>
          <w:p w:rsidR="004E4AF8" w:rsidRDefault="004E4AF8">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sz w:val="18"/>
                <w:szCs w:val="18"/>
              </w:rPr>
            </w:pPr>
            <w:r>
              <w:rPr>
                <w:sz w:val="18"/>
                <w:szCs w:val="18"/>
              </w:rPr>
              <w:lastRenderedPageBreak/>
              <w:t>60</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2024-84</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Contratação de empresa especializada para fornecimento de links dedicados de acesso à internet e</w:t>
            </w:r>
          </w:p>
          <w:p w:rsidR="004E4AF8" w:rsidRDefault="00D6230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links IP/MPLS</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Contratação de empresa especializada para fornecimento de links dedicados de acesso à internet e links IP/MPLS, por fibra óptica, interligando a</w:t>
            </w:r>
            <w:r>
              <w:rPr>
                <w:sz w:val="18"/>
                <w:szCs w:val="18"/>
              </w:rPr>
              <w:t xml:space="preserve">s unidades remotas no interior com a sede administrativa, dispondo também de solução integrada de proteção de rede com características de Next Generation Firewall (NGFW), conectividade WIFI, firewall de aplicação, gerenciamento de logs, oferecendo serviço </w:t>
            </w:r>
            <w:r>
              <w:rPr>
                <w:sz w:val="18"/>
                <w:szCs w:val="18"/>
              </w:rPr>
              <w:t>de segurança multicamada, atendendo assim às necessidades do Tribunal de Justiça do Estado do Acre (TJAC), conforme disposições deste Termo de Referência.</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R$ 9.121.506,30</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Elson Correia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José Carlos Martins Junior</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DITEC</w:t>
            </w:r>
          </w:p>
        </w:tc>
        <w:tc>
          <w:tcPr>
            <w:tcW w:w="495" w:type="dxa"/>
            <w:shd w:val="clear" w:color="auto" w:fill="FF0000"/>
            <w:tcMar>
              <w:top w:w="100" w:type="dxa"/>
              <w:left w:w="100" w:type="dxa"/>
              <w:bottom w:w="100" w:type="dxa"/>
              <w:right w:w="100" w:type="dxa"/>
            </w:tcMar>
          </w:tcPr>
          <w:p w:rsidR="004E4AF8" w:rsidRDefault="004E4AF8">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sz w:val="18"/>
                <w:szCs w:val="18"/>
              </w:rPr>
            </w:pPr>
            <w:r>
              <w:rPr>
                <w:sz w:val="18"/>
                <w:szCs w:val="18"/>
              </w:rPr>
              <w:lastRenderedPageBreak/>
              <w:t>61</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2024-74</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Fábrica de Software</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Contratação de uma empresa especializada em serviço de desenvolvimento, manutenção e sustentação de aplicações de software, automação de processos e tecnologias avançadas em Inteligência Artificial (IA).</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Josana</w:t>
            </w:r>
            <w:r>
              <w:rPr>
                <w:sz w:val="18"/>
                <w:szCs w:val="18"/>
              </w:rPr>
              <w:t xml:space="preserve"> Aymara Pereira Nishihira</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Jose Carlos Martins Junior</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DITEC</w:t>
            </w:r>
          </w:p>
        </w:tc>
        <w:tc>
          <w:tcPr>
            <w:tcW w:w="495" w:type="dxa"/>
            <w:shd w:val="clear" w:color="auto" w:fill="FF0000"/>
            <w:tcMar>
              <w:top w:w="100" w:type="dxa"/>
              <w:left w:w="100" w:type="dxa"/>
              <w:bottom w:w="100" w:type="dxa"/>
              <w:right w:w="100" w:type="dxa"/>
            </w:tcMar>
          </w:tcPr>
          <w:p w:rsidR="004E4AF8" w:rsidRDefault="004E4AF8">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sz w:val="18"/>
                <w:szCs w:val="18"/>
              </w:rPr>
            </w:pPr>
            <w:r>
              <w:rPr>
                <w:sz w:val="18"/>
                <w:szCs w:val="18"/>
              </w:rPr>
              <w:lastRenderedPageBreak/>
              <w:t>62</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2024-69</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Aquisição de empresa especializada para prestação de serviço.</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Aquisição de empresa especializada para prestação de serviço de levantamento de requisitos, análise e modelagem de dados, operação assistida e manutenções corretivas e adaptativas da Plataforma, expansão dos cenários, desenvolvimento de soluções/aplicações</w:t>
            </w:r>
            <w:r>
              <w:rPr>
                <w:sz w:val="18"/>
                <w:szCs w:val="18"/>
              </w:rPr>
              <w:t xml:space="preserve"> de interface de usuários para coleta e/ou entrada de dados, além de treinamento, com vistas a atender as necessidades deste Tribunal.</w:t>
            </w:r>
          </w:p>
          <w:p w:rsidR="004E4AF8" w:rsidRDefault="004E4AF8">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495" w:type="dxa"/>
            <w:shd w:val="clear" w:color="auto" w:fill="FF0000"/>
            <w:tcMar>
              <w:top w:w="100" w:type="dxa"/>
              <w:left w:w="100" w:type="dxa"/>
              <w:bottom w:w="100" w:type="dxa"/>
              <w:right w:w="100" w:type="dxa"/>
            </w:tcMar>
          </w:tcPr>
          <w:p w:rsidR="004E4AF8" w:rsidRDefault="004E4AF8">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sz w:val="18"/>
                <w:szCs w:val="18"/>
              </w:rPr>
            </w:pPr>
            <w:r>
              <w:rPr>
                <w:sz w:val="18"/>
                <w:szCs w:val="18"/>
              </w:rPr>
              <w:lastRenderedPageBreak/>
              <w:t>63</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2024-83</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Certificado Digital</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Contratação de empresas especializadas na emissão de Certificado Digital Secure Socket Layer (SSL) e e-CNPJ, para atender as necessidades do Tribunal de Justiça do Estado do Acre</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Elson Correia de Oliveira Neto</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Jose Carlos Martins Junior</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DITEC</w:t>
            </w:r>
          </w:p>
        </w:tc>
        <w:tc>
          <w:tcPr>
            <w:tcW w:w="495" w:type="dxa"/>
            <w:shd w:val="clear" w:color="auto" w:fill="FF0000"/>
            <w:tcMar>
              <w:top w:w="100" w:type="dxa"/>
              <w:left w:w="100" w:type="dxa"/>
              <w:bottom w:w="100" w:type="dxa"/>
              <w:right w:w="100" w:type="dxa"/>
            </w:tcMar>
          </w:tcPr>
          <w:p w:rsidR="004E4AF8" w:rsidRDefault="004E4AF8">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sz w:val="18"/>
                <w:szCs w:val="18"/>
              </w:rPr>
            </w:pPr>
            <w:r>
              <w:rPr>
                <w:sz w:val="18"/>
                <w:szCs w:val="18"/>
              </w:rPr>
              <w:lastRenderedPageBreak/>
              <w:t>64</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2024/108</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Links Satelitais Unificado</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Contratação de Empresa de Telecomunicação para a prestação de serviços de acesso à rede mundial de computadores (Internet) Via Satélite ao Centro Integrado de Cidadania - Santa Rosa do Purus - AC, Distrito Judiciário da Comarca de Tarauacá - Jordão - AC; C</w:t>
            </w:r>
            <w:r>
              <w:rPr>
                <w:sz w:val="18"/>
                <w:szCs w:val="18"/>
              </w:rPr>
              <w:t>entro Integrado de Cidadania - Marechal Thaumaturgo - AC; Centro Integrado de Cidadania - Porto Walter - AC; Escola Estadual Indígena Estirão do Caucho, Rio Muru, Aldeia Estirão do Caucho, Igarapé do Caucho, Tarauacá - ACRE; Escola Nova Esperança - BR 317,</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km 55, Ramal Antônio Costa km 11, S/N PA Alcobrás, Zona Rural, CEP: 69931-000 - Capixaba - AC; Escola São Luiz Gonzaga - Rua Uáquiri, 650 BR </w:t>
            </w:r>
            <w:r>
              <w:rPr>
                <w:sz w:val="18"/>
                <w:szCs w:val="18"/>
              </w:rPr>
              <w:lastRenderedPageBreak/>
              <w:t>364 km 60, Centro, 69929-000 - Plácido de Castro; Aldeia Indigena, Poyanawa - Barão - Ipiranga em Mâncio Lima ( 18</w:t>
            </w:r>
            <w:r>
              <w:rPr>
                <w:sz w:val="18"/>
                <w:szCs w:val="18"/>
              </w:rPr>
              <w:t xml:space="preserve"> km de Mâncio Lima); Aldeia Indigena, Katukina - Local aldeia Kamãnawa - Cruzeiro do Sul, (Cruzeiro do Sul pra terra indígena são 64 km) e ainda Serviço de acesso dedicado à Internet por satélite para unidades Móveis (Projeto Cidadão em Cruzeiro do Sul e R</w:t>
            </w:r>
            <w:r>
              <w:rPr>
                <w:sz w:val="18"/>
                <w:szCs w:val="18"/>
              </w:rPr>
              <w:t>io Branco) para todo o estado do Acre por um período de 24 meses.</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DITEC</w:t>
            </w:r>
          </w:p>
        </w:tc>
        <w:tc>
          <w:tcPr>
            <w:tcW w:w="495" w:type="dxa"/>
            <w:shd w:val="clear" w:color="auto" w:fill="FF0000"/>
            <w:tcMar>
              <w:top w:w="100" w:type="dxa"/>
              <w:left w:w="100" w:type="dxa"/>
              <w:bottom w:w="100" w:type="dxa"/>
              <w:right w:w="100" w:type="dxa"/>
            </w:tcMar>
          </w:tcPr>
          <w:p w:rsidR="004E4AF8" w:rsidRDefault="004E4AF8">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sz w:val="18"/>
                <w:szCs w:val="18"/>
              </w:rPr>
            </w:pPr>
            <w:r>
              <w:rPr>
                <w:sz w:val="18"/>
                <w:szCs w:val="18"/>
              </w:rPr>
              <w:lastRenderedPageBreak/>
              <w:t>65</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2024-82</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Aquisição de Upgrade de Licenciamento Kaspersky Endpoint Detection and Response Optimum.</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Formação de Registro de Preços para aquisição de licenças de uso de Software antivírus, para fins de proteção da rede lógica, equipamentos de TI e informações, por um período de atualização, suporte e assistência técnica de 12 (doze) meses, na quantidade d</w:t>
            </w:r>
            <w:r>
              <w:rPr>
                <w:sz w:val="18"/>
                <w:szCs w:val="18"/>
              </w:rPr>
              <w:t>e 2500 (dois mil e quinhentas) licenças implementadas o recurso de Detecção e Resposta (EDR).</w:t>
            </w:r>
          </w:p>
          <w:p w:rsidR="004E4AF8" w:rsidRDefault="004E4AF8">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DITEC</w:t>
            </w:r>
          </w:p>
        </w:tc>
        <w:tc>
          <w:tcPr>
            <w:tcW w:w="495" w:type="dxa"/>
            <w:shd w:val="clear" w:color="auto" w:fill="FF0000"/>
            <w:tcMar>
              <w:top w:w="100" w:type="dxa"/>
              <w:left w:w="100" w:type="dxa"/>
              <w:bottom w:w="100" w:type="dxa"/>
              <w:right w:w="100" w:type="dxa"/>
            </w:tcMar>
          </w:tcPr>
          <w:p w:rsidR="004E4AF8" w:rsidRDefault="004E4AF8">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sz w:val="18"/>
                <w:szCs w:val="18"/>
              </w:rPr>
            </w:pPr>
            <w:r>
              <w:rPr>
                <w:sz w:val="18"/>
                <w:szCs w:val="18"/>
              </w:rPr>
              <w:lastRenderedPageBreak/>
              <w:t>66</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2024-86</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Links Satelitais - Santa Rosa, Marechal Thaumaturgo, Porto Walter, Escola Indígena.</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Contratação de Empresa de Telecomunicação para a prestação de serviços de acesso à rede mundial de</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computadores (Internet) Via Satélite ao Centro Integrado de Cidadania - Santa Rosa do Purus - AC, Distrito</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Judiciário da Comarca de Tarauacá - Jordão - AC, C</w:t>
            </w:r>
            <w:r>
              <w:rPr>
                <w:sz w:val="18"/>
                <w:szCs w:val="18"/>
              </w:rPr>
              <w:t>entro Integrado de Cidadania - Marechal Thaumaturgo -</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 Centro Integrado de Cidadania - Porto Walter - AC, Escola Estadual Indígena Estirão do Caucho, Rio</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Muru, Aldeia Estirão do Caucho, Igarapé do Caucho, Tarauacá - ACRE e ainda Serviço de acesso dedica</w:t>
            </w:r>
            <w:r>
              <w:rPr>
                <w:sz w:val="18"/>
                <w:szCs w:val="18"/>
              </w:rPr>
              <w:t>do à</w:t>
            </w:r>
          </w:p>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Internet por satélite para unidades Móveis para todo o estado do Acre.</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DITEC</w:t>
            </w:r>
          </w:p>
        </w:tc>
        <w:tc>
          <w:tcPr>
            <w:tcW w:w="495" w:type="dxa"/>
            <w:shd w:val="clear" w:color="auto" w:fill="FF0000"/>
            <w:tcMar>
              <w:top w:w="100" w:type="dxa"/>
              <w:left w:w="100" w:type="dxa"/>
              <w:bottom w:w="100" w:type="dxa"/>
              <w:right w:w="100" w:type="dxa"/>
            </w:tcMar>
          </w:tcPr>
          <w:p w:rsidR="004E4AF8" w:rsidRDefault="004E4AF8">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p>
        </w:tc>
      </w:tr>
      <w:tr w:rsidR="007207B7" w:rsidTr="004E4AF8">
        <w:trPr>
          <w:cnfStyle w:val="000000100000" w:firstRow="0" w:lastRow="0" w:firstColumn="0" w:lastColumn="0" w:oddVBand="0" w:evenVBand="0" w:oddHBand="1" w:evenHBand="0" w:firstRowFirstColumn="0" w:firstRowLastColumn="0" w:lastRowFirstColumn="0" w:lastRowLastColumn="0"/>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sz w:val="18"/>
                <w:szCs w:val="18"/>
              </w:rPr>
            </w:pPr>
            <w:r>
              <w:rPr>
                <w:sz w:val="18"/>
                <w:szCs w:val="18"/>
              </w:rPr>
              <w:t>67</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2024-59</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Aquisição de Licenças de Software Microsoft e Serviços de Implantação de Infraestrutura de TI.</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Formação de Sistema de Registro de Preços para aquisição de Licenças de Software Microsoft e Serviços de Implantação de Infraestrutura de TI, incluindo o fornecimento de licenças de software e serviços de suporte técnico, atualização de versão, manutenção </w:t>
            </w:r>
            <w:r>
              <w:rPr>
                <w:sz w:val="18"/>
                <w:szCs w:val="18"/>
              </w:rPr>
              <w:t>de software com garantia de atualização tecnológica com serviços agregados às licenças, além de treinamento, consultoria e desenvolvimento de serviços técnicos especializados para atender a demanda do Poder Judiciário do Acre.</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DITEC</w:t>
            </w:r>
          </w:p>
        </w:tc>
        <w:tc>
          <w:tcPr>
            <w:tcW w:w="495" w:type="dxa"/>
            <w:shd w:val="clear" w:color="auto" w:fill="FF0000"/>
            <w:tcMar>
              <w:top w:w="100" w:type="dxa"/>
              <w:left w:w="100" w:type="dxa"/>
              <w:bottom w:w="100" w:type="dxa"/>
              <w:right w:w="100" w:type="dxa"/>
            </w:tcMar>
          </w:tcPr>
          <w:p w:rsidR="004E4AF8" w:rsidRDefault="004E4AF8">
            <w:pPr>
              <w:keepNext/>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2"/>
                <w:szCs w:val="22"/>
              </w:rPr>
            </w:pPr>
          </w:p>
        </w:tc>
      </w:tr>
      <w:tr w:rsidR="007207B7" w:rsidTr="004E4AF8">
        <w:trPr>
          <w:cantSplit/>
          <w:trHeight w:val="1548"/>
        </w:trPr>
        <w:tc>
          <w:tcPr>
            <w:cnfStyle w:val="001000000000" w:firstRow="0" w:lastRow="0" w:firstColumn="1" w:lastColumn="0" w:oddVBand="0" w:evenVBand="0" w:oddHBand="0" w:evenHBand="0" w:firstRowFirstColumn="0" w:firstRowLastColumn="0" w:lastRowFirstColumn="0" w:lastRowLastColumn="0"/>
            <w:tcW w:w="420" w:type="dxa"/>
            <w:tcBorders>
              <w:top w:val="single" w:sz="6" w:space="0" w:color="CCCCCC"/>
              <w:left w:val="single" w:sz="6" w:space="0" w:color="59A9F2"/>
              <w:bottom w:val="single" w:sz="6" w:space="0" w:color="59A9F2"/>
              <w:right w:val="single" w:sz="6" w:space="0" w:color="59A9F2"/>
            </w:tcBorders>
            <w:shd w:val="clear" w:color="auto" w:fill="2191C9"/>
            <w:tcMar>
              <w:top w:w="0" w:type="dxa"/>
              <w:left w:w="40" w:type="dxa"/>
              <w:bottom w:w="0" w:type="dxa"/>
              <w:right w:w="40" w:type="dxa"/>
            </w:tcMar>
            <w:vAlign w:val="center"/>
          </w:tcPr>
          <w:p w:rsidR="004E4AF8" w:rsidRDefault="00D62302">
            <w:pPr>
              <w:ind w:left="113" w:right="113"/>
              <w:jc w:val="center"/>
              <w:rPr>
                <w:sz w:val="18"/>
                <w:szCs w:val="18"/>
              </w:rPr>
            </w:pPr>
            <w:r>
              <w:rPr>
                <w:sz w:val="18"/>
                <w:szCs w:val="18"/>
              </w:rPr>
              <w:lastRenderedPageBreak/>
              <w:t>68</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2024-52</w:t>
            </w:r>
          </w:p>
        </w:tc>
        <w:tc>
          <w:tcPr>
            <w:tcW w:w="70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DITEC</w:t>
            </w:r>
          </w:p>
        </w:tc>
        <w:tc>
          <w:tcPr>
            <w:tcW w:w="168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Aquisição de licenças de uso de Software antivírus, para fins de proteção da rede lógica, equipamentos de TI e informações.</w:t>
            </w:r>
          </w:p>
        </w:tc>
        <w:tc>
          <w:tcPr>
            <w:tcW w:w="17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Registro de Preços para aquisição de licenças de uso de Software antivírus, para fins de proteção da rede lógica, equi</w:t>
            </w:r>
            <w:r>
              <w:rPr>
                <w:sz w:val="18"/>
                <w:szCs w:val="18"/>
              </w:rPr>
              <w:t>pamentos de TI e informações, por um período de atualização, suporte e assistência técnica de 12 meses, na quantidade de 2500 licenças de Optimum.</w:t>
            </w:r>
          </w:p>
        </w:tc>
        <w:tc>
          <w:tcPr>
            <w:tcW w:w="88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2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99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140"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7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55" w:type="dxa"/>
            <w:tcBorders>
              <w:top w:val="single" w:sz="6" w:space="0" w:color="CCCCCC"/>
              <w:left w:val="single" w:sz="6" w:space="0" w:color="CCCCCC"/>
              <w:bottom w:val="single" w:sz="6" w:space="0" w:color="59A9F2"/>
              <w:right w:val="single" w:sz="6" w:space="0" w:color="59A9F2"/>
            </w:tcBorders>
            <w:tcMar>
              <w:top w:w="0" w:type="dxa"/>
              <w:left w:w="40" w:type="dxa"/>
              <w:bottom w:w="0" w:type="dxa"/>
              <w:right w:w="40" w:type="dxa"/>
            </w:tcMar>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DITEC</w:t>
            </w:r>
          </w:p>
        </w:tc>
        <w:tc>
          <w:tcPr>
            <w:tcW w:w="495" w:type="dxa"/>
            <w:shd w:val="clear" w:color="auto" w:fill="FF0000"/>
            <w:tcMar>
              <w:top w:w="100" w:type="dxa"/>
              <w:left w:w="100" w:type="dxa"/>
              <w:bottom w:w="100" w:type="dxa"/>
              <w:right w:w="100" w:type="dxa"/>
            </w:tcMar>
          </w:tcPr>
          <w:p w:rsidR="004E4AF8" w:rsidRDefault="004E4AF8">
            <w:pPr>
              <w:keepNext/>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2"/>
                <w:szCs w:val="22"/>
              </w:rPr>
            </w:pPr>
          </w:p>
        </w:tc>
      </w:tr>
    </w:tbl>
    <w:p w:rsidR="004E4AF8" w:rsidRDefault="004E4AF8">
      <w:pPr>
        <w:pStyle w:val="Ttulo5"/>
        <w:spacing w:after="200" w:line="240" w:lineRule="auto"/>
        <w:rPr>
          <w:sz w:val="20"/>
          <w:szCs w:val="20"/>
        </w:rPr>
      </w:pPr>
      <w:bookmarkStart w:id="10" w:name="_heading=h.93ve5i990ert" w:colFirst="0" w:colLast="0"/>
      <w:bookmarkEnd w:id="10"/>
    </w:p>
    <w:p w:rsidR="004E4AF8" w:rsidRDefault="00D62302">
      <w:pPr>
        <w:pStyle w:val="Ttulo5"/>
        <w:spacing w:after="200" w:line="240" w:lineRule="auto"/>
        <w:rPr>
          <w:sz w:val="20"/>
          <w:szCs w:val="20"/>
        </w:rPr>
      </w:pPr>
      <w:bookmarkStart w:id="11" w:name="_heading=h.2s8eyo1" w:colFirst="0" w:colLast="0"/>
      <w:bookmarkEnd w:id="11"/>
      <w:r>
        <w:rPr>
          <w:sz w:val="20"/>
          <w:szCs w:val="20"/>
        </w:rPr>
        <w:t>Tabela 2 - Ações de Investimentos</w:t>
      </w:r>
    </w:p>
    <w:p w:rsidR="004E4AF8" w:rsidRDefault="004E4AF8"/>
    <w:p w:rsidR="004E4AF8" w:rsidRDefault="004E4AF8"/>
    <w:p w:rsidR="004E4AF8" w:rsidRDefault="004E4AF8"/>
    <w:p w:rsidR="004E4AF8" w:rsidRDefault="00D62302">
      <w:pPr>
        <w:pStyle w:val="Ttulo2"/>
        <w:numPr>
          <w:ilvl w:val="1"/>
          <w:numId w:val="5"/>
        </w:numPr>
      </w:pPr>
      <w:bookmarkStart w:id="12" w:name="_heading=h.17dp8vu" w:colFirst="0" w:colLast="0"/>
      <w:bookmarkEnd w:id="12"/>
      <w:r>
        <w:lastRenderedPageBreak/>
        <w:t>Bens e Serviços em Garantia</w:t>
      </w:r>
    </w:p>
    <w:tbl>
      <w:tblPr>
        <w:tblStyle w:val="afffffffffffffff4"/>
        <w:tblW w:w="14745" w:type="dxa"/>
        <w:jc w:val="center"/>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435"/>
        <w:gridCol w:w="1215"/>
        <w:gridCol w:w="750"/>
        <w:gridCol w:w="960"/>
        <w:gridCol w:w="1560"/>
        <w:gridCol w:w="1590"/>
        <w:gridCol w:w="855"/>
        <w:gridCol w:w="510"/>
        <w:gridCol w:w="1035"/>
        <w:gridCol w:w="765"/>
        <w:gridCol w:w="1110"/>
        <w:gridCol w:w="1065"/>
        <w:gridCol w:w="1095"/>
        <w:gridCol w:w="855"/>
        <w:gridCol w:w="945"/>
      </w:tblGrid>
      <w:tr w:rsidR="004E4AF8" w:rsidTr="004E4AF8">
        <w:trPr>
          <w:cnfStyle w:val="100000000000" w:firstRow="1" w:lastRow="0" w:firstColumn="0" w:lastColumn="0" w:oddVBand="0" w:evenVBand="0" w:oddHBand="0" w:evenHBand="0" w:firstRowFirstColumn="0" w:firstRowLastColumn="0" w:lastRowFirstColumn="0" w:lastRowLastColumn="0"/>
          <w:cantSplit/>
          <w:trHeight w:val="2115"/>
          <w:jc w:val="center"/>
        </w:trPr>
        <w:tc>
          <w:tcPr>
            <w:cnfStyle w:val="001000000000" w:firstRow="0" w:lastRow="0" w:firstColumn="1" w:lastColumn="0" w:oddVBand="0" w:evenVBand="0" w:oddHBand="0" w:evenHBand="0" w:firstRowFirstColumn="0" w:firstRowLastColumn="0" w:lastRowFirstColumn="0" w:lastRowLastColumn="0"/>
            <w:tcW w:w="435" w:type="dxa"/>
            <w:tcBorders>
              <w:top w:val="nil"/>
              <w:left w:val="nil"/>
              <w:bottom w:val="nil"/>
            </w:tcBorders>
            <w:vAlign w:val="center"/>
          </w:tcPr>
          <w:p w:rsidR="004E4AF8" w:rsidRDefault="00D62302">
            <w:pPr>
              <w:ind w:left="113" w:right="113"/>
              <w:jc w:val="center"/>
              <w:rPr>
                <w:sz w:val="14"/>
                <w:szCs w:val="14"/>
              </w:rPr>
            </w:pPr>
            <w:r>
              <w:rPr>
                <w:sz w:val="14"/>
                <w:szCs w:val="14"/>
              </w:rPr>
              <w:t>SEQUÊNCIA</w:t>
            </w:r>
          </w:p>
        </w:tc>
        <w:tc>
          <w:tcPr>
            <w:tcW w:w="121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P</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R</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O</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C</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E</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S</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S</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O</w:t>
            </w:r>
          </w:p>
        </w:tc>
        <w:tc>
          <w:tcPr>
            <w:tcW w:w="750"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U</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N</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I</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D</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A</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D</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E</w:t>
            </w:r>
          </w:p>
        </w:tc>
        <w:tc>
          <w:tcPr>
            <w:tcW w:w="960"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C</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O</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N</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T</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R</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A</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T</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O</w:t>
            </w:r>
          </w:p>
        </w:tc>
        <w:tc>
          <w:tcPr>
            <w:tcW w:w="1560"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DESCRIÇÃO DO OBJETO</w:t>
            </w:r>
          </w:p>
        </w:tc>
        <w:tc>
          <w:tcPr>
            <w:tcW w:w="1590"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JUSTIFICATIVA</w:t>
            </w:r>
          </w:p>
        </w:tc>
        <w:tc>
          <w:tcPr>
            <w:tcW w:w="85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TIPO</w:t>
            </w:r>
          </w:p>
        </w:tc>
        <w:tc>
          <w:tcPr>
            <w:tcW w:w="510"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QUANTIDADE</w:t>
            </w:r>
          </w:p>
        </w:tc>
        <w:tc>
          <w:tcPr>
            <w:tcW w:w="103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VALOR</w:t>
            </w:r>
          </w:p>
        </w:tc>
        <w:tc>
          <w:tcPr>
            <w:tcW w:w="76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R</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E</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C</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U</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R</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S</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O</w:t>
            </w:r>
          </w:p>
        </w:tc>
        <w:tc>
          <w:tcPr>
            <w:tcW w:w="1110"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VIGÊNCIA DA GARANTIA</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(INÍCIO)</w:t>
            </w:r>
          </w:p>
        </w:tc>
        <w:tc>
          <w:tcPr>
            <w:tcW w:w="106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VIGÊNCIA DA GARANTIA</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(FIM)</w:t>
            </w:r>
          </w:p>
        </w:tc>
        <w:tc>
          <w:tcPr>
            <w:tcW w:w="109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UNIDADE RESPON- SÁVEL</w:t>
            </w:r>
          </w:p>
        </w:tc>
        <w:tc>
          <w:tcPr>
            <w:tcW w:w="855" w:type="dxa"/>
            <w:tcBorders>
              <w:top w:val="nil"/>
              <w:bottom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F</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I</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S</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C</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A</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L</w:t>
            </w:r>
          </w:p>
        </w:tc>
        <w:tc>
          <w:tcPr>
            <w:tcW w:w="945" w:type="dxa"/>
            <w:tcBorders>
              <w:top w:val="nil"/>
              <w:bottom w:val="nil"/>
              <w:right w:val="nil"/>
            </w:tcBorders>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G</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E</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S</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T</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O</w:t>
            </w:r>
          </w:p>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R</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4200"/>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18"/>
                <w:szCs w:val="18"/>
              </w:rPr>
            </w:pPr>
            <w:r>
              <w:rPr>
                <w:sz w:val="18"/>
                <w:szCs w:val="18"/>
              </w:rPr>
              <w:t>02</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0000085-16.2022.8.01.0000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Varas Criminais</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111/2022</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Aquisição de 227 Desktop tipo compacto para as Varas Criminais, Juizados Criminais e Audiência de Custódia do Poder Judiciário Acreano (Garantia de 3 anos)</w:t>
            </w:r>
          </w:p>
        </w:tc>
        <w:tc>
          <w:tcPr>
            <w:tcW w:w="159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Contribuir para agilizar na realização de audiências e na melhoria da prestação de serviços</w:t>
            </w:r>
            <w:r>
              <w:rPr>
                <w:sz w:val="14"/>
                <w:szCs w:val="14"/>
              </w:rPr>
              <w:t xml:space="preserve"> aos jurisdicionados, promovendo economicidade para o Estado do Acre, expandindo a base instalada de unidades judiciárias com capacidade para realizar audiências de instrução via ferramenta de videoconferência, ampliando, dessa forma, a segurança dos servi</w:t>
            </w:r>
            <w:r>
              <w:rPr>
                <w:sz w:val="14"/>
                <w:szCs w:val="14"/>
              </w:rPr>
              <w:t>dores públicos e sociedade como um todo.</w:t>
            </w:r>
          </w:p>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Cumprir o Plano de Continuidade de Serviços essenciais de TIC constante na Resolução 370/2021, do CNJ.</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Licitação</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227</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R$ 989.456,68</w:t>
            </w:r>
          </w:p>
        </w:tc>
        <w:tc>
          <w:tcPr>
            <w:tcW w:w="7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Próprio e/ou Convênio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10/10/22</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10/10/25</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DITEC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Nivaldo</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Rodrigues da Silva</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Jean Carlos</w:t>
            </w:r>
            <w:r>
              <w:rPr>
                <w:sz w:val="14"/>
                <w:szCs w:val="14"/>
              </w:rPr>
              <w:t xml:space="preserve"> Nery da Costa</w:t>
            </w:r>
          </w:p>
        </w:tc>
      </w:tr>
      <w:tr w:rsidR="004E4AF8" w:rsidTr="004E4AF8">
        <w:trPr>
          <w:cantSplit/>
          <w:trHeight w:val="4581"/>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18"/>
                <w:szCs w:val="18"/>
              </w:rPr>
            </w:pPr>
            <w:r>
              <w:rPr>
                <w:sz w:val="18"/>
                <w:szCs w:val="18"/>
              </w:rPr>
              <w:lastRenderedPageBreak/>
              <w:t>03</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0000084-31.2022.8.01.0000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DITEC</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009/2023</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Aquisição de 8 Computador Servidor (Garantia de 5 anos).</w:t>
            </w:r>
          </w:p>
        </w:tc>
        <w:tc>
          <w:tcPr>
            <w:tcW w:w="159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Atender a solução de videoconferência realizadas através dos CODECS instalados nas unidades Criminais do TJAC.</w:t>
            </w:r>
          </w:p>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Contribuir para o melhoramento e agilidade na realização de audiências e na melhoria da prestação de serviços aos jurisdicionados, promovendo economicidade para o Estado do Acre, expandindo as bases já instaladas nas unidades judiciárias com capacidade par</w:t>
            </w:r>
            <w:r>
              <w:rPr>
                <w:sz w:val="14"/>
                <w:szCs w:val="14"/>
              </w:rPr>
              <w:t>a realizar audiências de instrução via ferramenta de videoconferência, ampliando, dessa forma, a segurança dos magistrados e sociedade como um todo.</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Licitação</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8</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R$ 1.876.000,00</w:t>
            </w:r>
          </w:p>
        </w:tc>
        <w:tc>
          <w:tcPr>
            <w:tcW w:w="7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Próprio e/ou Convênio</w:t>
            </w:r>
          </w:p>
        </w:tc>
        <w:tc>
          <w:tcPr>
            <w:tcW w:w="11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05/12/22</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05/12/27</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Elson</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Correia de Oliveira Neto</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Afonso Evangelista Araújo</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18"/>
                <w:szCs w:val="18"/>
              </w:rPr>
            </w:pPr>
            <w:r>
              <w:rPr>
                <w:sz w:val="18"/>
                <w:szCs w:val="18"/>
              </w:rPr>
              <w:lastRenderedPageBreak/>
              <w:t>04</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0000084-31.2022.8.01.0000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DITEC</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Licenciamento VMware vCenter Server.</w:t>
            </w:r>
          </w:p>
        </w:tc>
        <w:tc>
          <w:tcPr>
            <w:tcW w:w="159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Atender a solução de videoconferência realizadas através dos CODECS instalados nas unidades Criminais do TJAC.</w:t>
            </w:r>
          </w:p>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Contribuir para o melhoramento e agilidade na realização de audiências e na melhoria da prestação de serviços aos jurisdicionados, promovendo economicidade para o Estado do Acre, expandindo as bases já instaladas nas unidades judiciárias com capacidade par</w:t>
            </w:r>
            <w:r>
              <w:rPr>
                <w:sz w:val="14"/>
                <w:szCs w:val="14"/>
              </w:rPr>
              <w:t>a realizar audiências de instrução via ferramenta de videoconferência, ampliando, dessa forma, a segurança dos magistrados e sociedade como um todo.</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ARP</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209/2022</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2</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R$ 125.000,00</w:t>
            </w:r>
          </w:p>
        </w:tc>
        <w:tc>
          <w:tcPr>
            <w:tcW w:w="7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Próprio e/ou</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Convênio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07/02/23</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07/02/27</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DITEC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Elson</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Correia de Oliveira Neto</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Afonso Evangelista Araújo</w:t>
            </w:r>
          </w:p>
        </w:tc>
      </w:tr>
      <w:tr w:rsidR="004E4AF8" w:rsidTr="004E4AF8">
        <w:trPr>
          <w:cantSplit/>
          <w:trHeight w:val="2055"/>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color w:val="2191C9"/>
                <w:sz w:val="18"/>
                <w:szCs w:val="18"/>
              </w:rPr>
            </w:pPr>
            <w:r>
              <w:rPr>
                <w:b w:val="0"/>
                <w:sz w:val="18"/>
                <w:szCs w:val="18"/>
              </w:rPr>
              <w:t>05</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0000391-19.2021.8.01.0000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DITEC</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035/2021</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Fornecimento de licenças de servidor de e-mail IceWarp Mail Server, upgrade e suporte.</w:t>
            </w:r>
          </w:p>
        </w:tc>
        <w:tc>
          <w:tcPr>
            <w:tcW w:w="159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 xml:space="preserve">Crescente demanda de segurança nas informações contidas nos e-mails corporativos do TJAC,  visando maior estabilidade no serviço, além de promover maior integridade dos dados que circulam no Servidor de e-mail mitigando as vulnerabilidades decorrentes das </w:t>
            </w:r>
            <w:r>
              <w:rPr>
                <w:color w:val="2191C9"/>
                <w:sz w:val="14"/>
                <w:szCs w:val="14"/>
              </w:rPr>
              <w:t>versões já utilizadas.</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Dispensa de Licitação</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3000</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R$</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44.765,00</w:t>
            </w:r>
          </w:p>
        </w:tc>
        <w:tc>
          <w:tcPr>
            <w:tcW w:w="7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Próprio</w:t>
            </w:r>
          </w:p>
        </w:tc>
        <w:tc>
          <w:tcPr>
            <w:tcW w:w="11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14/09/23</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14/09/25</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Elson Correia de Oliveira Neto</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 xml:space="preserve">Raquel </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2191C9"/>
                <w:sz w:val="14"/>
                <w:szCs w:val="14"/>
              </w:rPr>
            </w:pPr>
            <w:r>
              <w:rPr>
                <w:color w:val="2191C9"/>
                <w:sz w:val="14"/>
                <w:szCs w:val="14"/>
              </w:rPr>
              <w:t>Cunha da Conceição</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2115"/>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18"/>
                <w:szCs w:val="18"/>
              </w:rPr>
            </w:pPr>
            <w:r>
              <w:rPr>
                <w:sz w:val="18"/>
                <w:szCs w:val="18"/>
              </w:rPr>
              <w:lastRenderedPageBreak/>
              <w:t>06</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0004538-88.2021.8.01.0000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DITEC</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041/2021</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Certificado Digital A1 SSL Wildcard com validade de 5 anos emitido para o domínio tjac.jus.br</w:t>
            </w:r>
          </w:p>
        </w:tc>
        <w:tc>
          <w:tcPr>
            <w:tcW w:w="159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 utilização da certificação digital proporciona o aumento da segurança no acesso aos serviços online prestados pelo Tribunal de Justiça e reforça a proteção de t</w:t>
            </w:r>
            <w:r>
              <w:rPr>
                <w:sz w:val="14"/>
                <w:szCs w:val="14"/>
              </w:rPr>
              <w:t>odos os dados que trafegam entre os clientes externos e os sites hospedados no TJAC.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Licitação</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2.440,35</w:t>
            </w:r>
          </w:p>
        </w:tc>
        <w:tc>
          <w:tcPr>
            <w:tcW w:w="7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Próprio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12/11/2021</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12/11/2025</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DITEC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Isaac</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Timóteo</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Oliveira</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Júnior</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 xml:space="preserve">Elson </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Correia de Oliveira Neto</w:t>
            </w:r>
          </w:p>
        </w:tc>
      </w:tr>
      <w:tr w:rsidR="004E4AF8" w:rsidTr="004E4AF8">
        <w:trPr>
          <w:cantSplit/>
          <w:trHeight w:val="4439"/>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18"/>
                <w:szCs w:val="18"/>
              </w:rPr>
            </w:pPr>
            <w:r>
              <w:rPr>
                <w:sz w:val="18"/>
                <w:szCs w:val="18"/>
              </w:rPr>
              <w:t>07</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0000467-43.2021.8.01.0000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DITEC</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031/2021</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Fornecimento de 1.500 (mil e quinhentas) licenças Kaspersky Endpoint Security - Solução de Antivírus para servidores, estações de trabalho linux, windows e MacOs com atualização para 60 meses – Empresa Qualitek Tecnologia</w:t>
            </w:r>
          </w:p>
        </w:tc>
        <w:tc>
          <w:tcPr>
            <w:tcW w:w="159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Garantir o controle e prevenção de</w:t>
            </w:r>
            <w:r>
              <w:rPr>
                <w:sz w:val="14"/>
                <w:szCs w:val="14"/>
              </w:rPr>
              <w:t xml:space="preserve"> ataques informatizados, oriundos de vírus e software maliciosos, ou demais Mecanismos informatizados que violem a segurança das informações eletrônica.</w:t>
            </w:r>
          </w:p>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Dotar a Instituição de software licenciado e original que contemple uma base de dados constantemente at</w:t>
            </w:r>
            <w:r>
              <w:rPr>
                <w:sz w:val="14"/>
                <w:szCs w:val="14"/>
              </w:rPr>
              <w:t>ualizada, além do mapeamento de novos vírus que surgem diariamente e suas respectivas proteções (vacinas), a fim de evitar prejuízos aos equipamentos de tecnologia da informação (TI) e informações eletrônicas da Instituição.</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Licitação</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1</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5</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R$ 270.000,00</w:t>
            </w:r>
          </w:p>
        </w:tc>
        <w:tc>
          <w:tcPr>
            <w:tcW w:w="7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Próprio</w:t>
            </w:r>
          </w:p>
        </w:tc>
        <w:tc>
          <w:tcPr>
            <w:tcW w:w="11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02/07/21</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02/07/26</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Elson</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Correia de Oliveira Neto</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 xml:space="preserve">Raquel </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Cunha da Conceição</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1290"/>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18"/>
                <w:szCs w:val="18"/>
              </w:rPr>
            </w:pPr>
            <w:r>
              <w:rPr>
                <w:sz w:val="18"/>
                <w:szCs w:val="18"/>
              </w:rPr>
              <w:t>08</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0005772-08.2021.8.01.0000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DITEC</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043/2021</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Aquisição de 693 Desktop – Empresa: Northware Comercio e Serviços LTDA (Garantia de 3 anos)</w:t>
            </w:r>
          </w:p>
        </w:tc>
        <w:tc>
          <w:tcPr>
            <w:tcW w:w="159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Os microcomputadores do Poder Judiciário estão no final da vida útil, sem garantia técnica em razão da política de mercado dos fabricantes.</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ARP</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23/2021</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693</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R$ 3.581.260,00</w:t>
            </w:r>
          </w:p>
        </w:tc>
        <w:tc>
          <w:tcPr>
            <w:tcW w:w="7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Próprio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25/05/22</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25/05/25</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DITEC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 xml:space="preserve">Nivaldo </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Rodrigues da Silva</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Jean Carlos Nery da Costa</w:t>
            </w:r>
          </w:p>
        </w:tc>
      </w:tr>
      <w:tr w:rsidR="004E4AF8" w:rsidTr="004E4AF8">
        <w:trPr>
          <w:cantSplit/>
          <w:trHeight w:val="3101"/>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18"/>
                <w:szCs w:val="18"/>
              </w:rPr>
            </w:pPr>
            <w:r>
              <w:rPr>
                <w:sz w:val="18"/>
                <w:szCs w:val="18"/>
              </w:rPr>
              <w:lastRenderedPageBreak/>
              <w:t>09</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0004088-48.2021.8.01.0000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DITEC</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 xml:space="preserve">Aquisição de 37 Desktops </w:t>
            </w:r>
          </w:p>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(Garantia de 3 anos)</w:t>
            </w:r>
          </w:p>
        </w:tc>
        <w:tc>
          <w:tcPr>
            <w:tcW w:w="159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Renovação do parque computacional do TJAC, que já ultrapassaram o período de vida útil, não  possuindo desempenho satisfatório para execução das aplicações e consequentemente influenciando negativamente na produtividade dos servidores e serventuários da ju</w:t>
            </w:r>
            <w:r>
              <w:rPr>
                <w:sz w:val="14"/>
                <w:szCs w:val="14"/>
              </w:rPr>
              <w:t>stiça acriana.</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ARP                      268/2022</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37</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R$ 170.200,00</w:t>
            </w:r>
          </w:p>
        </w:tc>
        <w:tc>
          <w:tcPr>
            <w:tcW w:w="7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Próprio e/ou Convênio</w:t>
            </w:r>
          </w:p>
        </w:tc>
        <w:tc>
          <w:tcPr>
            <w:tcW w:w="11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09/01/23</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09/01/26</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Victor Moura</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Baldan</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Jean Carlos Nery da Costa</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2675"/>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18"/>
                <w:szCs w:val="18"/>
              </w:rPr>
            </w:pPr>
            <w:r>
              <w:rPr>
                <w:sz w:val="18"/>
                <w:szCs w:val="18"/>
              </w:rPr>
              <w:t>10</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0000126-80.2022.8.01.0000</w:t>
            </w:r>
          </w:p>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0008266-06.2022.8.01.0000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146/2022</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Aquisição de 75 </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Notebooks</w:t>
            </w:r>
          </w:p>
        </w:tc>
        <w:tc>
          <w:tcPr>
            <w:tcW w:w="159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Substituição de todos os notebooks em poder dos magistrados e diretores, pois estão no final da vida útil, já não possuem garantia, em razão da política de mercado dos fabricantes.</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ARP             </w:t>
            </w:r>
            <w:r>
              <w:rPr>
                <w:sz w:val="14"/>
                <w:szCs w:val="14"/>
              </w:rPr>
              <w:t>145/2022</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75</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R$ 588.375,00</w:t>
            </w:r>
          </w:p>
        </w:tc>
        <w:tc>
          <w:tcPr>
            <w:tcW w:w="7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Próprio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27/12/22</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27/12/27</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Jean Carlos Nery da Costa</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Afonso</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Evangelista Araújo</w:t>
            </w:r>
          </w:p>
        </w:tc>
      </w:tr>
      <w:tr w:rsidR="004E4AF8" w:rsidTr="004E4AF8">
        <w:trPr>
          <w:cantSplit/>
          <w:trHeight w:val="2894"/>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rPr>
            </w:pPr>
            <w:r>
              <w:rPr>
                <w:sz w:val="20"/>
                <w:szCs w:val="20"/>
              </w:rPr>
              <w:lastRenderedPageBreak/>
              <w:t>11</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0005786-89.2021.8.01.0000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135/2022</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Aquisição Licenciamento de Software Veeam Backup &amp; Replication (Garantia de 3 anos);</w:t>
            </w:r>
          </w:p>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Unidade de armazenamento de informação – tipo 2;</w:t>
            </w:r>
          </w:p>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Fitoteca de armazenamento modular - base;</w:t>
            </w:r>
          </w:p>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Serviço de treinamento oficial.</w:t>
            </w:r>
          </w:p>
        </w:tc>
        <w:tc>
          <w:tcPr>
            <w:tcW w:w="159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Atender a demanda de armazenamento seguro do crescente contingente de sistemas informatizados do TJAC, visando mitigar as chances de perda de informação em caso de incidente cibernét</w:t>
            </w:r>
            <w:r>
              <w:rPr>
                <w:sz w:val="16"/>
                <w:szCs w:val="16"/>
              </w:rPr>
              <w:t>ico e para garantir a continuidade de negócio.</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Licitação</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300</w:t>
            </w:r>
          </w:p>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R$ 595.500,00</w:t>
            </w:r>
          </w:p>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R$ 1.197.000,00</w:t>
            </w:r>
          </w:p>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R$ 307.490,00</w:t>
            </w:r>
          </w:p>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R$ 66.000,00</w:t>
            </w:r>
          </w:p>
        </w:tc>
        <w:tc>
          <w:tcPr>
            <w:tcW w:w="7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Próprio</w:t>
            </w:r>
          </w:p>
        </w:tc>
        <w:tc>
          <w:tcPr>
            <w:tcW w:w="11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27/12/22</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27/12/25</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Jader Sousa Santos</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Raquel</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Cunha da Conceição</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2821"/>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rPr>
            </w:pPr>
            <w:r>
              <w:rPr>
                <w:sz w:val="20"/>
                <w:szCs w:val="20"/>
              </w:rPr>
              <w:t>12</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0006647-12.2020.8.01.0000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 Desktop completo Nota Fiscal 15.295;</w:t>
            </w:r>
          </w:p>
          <w:p w:rsidR="004E4AF8" w:rsidRDefault="004E4AF8">
            <w:pP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 Desktop completo Nota Fiscal 16.422;</w:t>
            </w:r>
          </w:p>
          <w:p w:rsidR="004E4AF8" w:rsidRDefault="004E4AF8">
            <w:pP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32 Desktop completo Nota Fiscal 030663.</w:t>
            </w:r>
          </w:p>
        </w:tc>
        <w:tc>
          <w:tcPr>
            <w:tcW w:w="159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Necessidade de recuperação de diversos dispositivos do TJAC com garantias vencidas e não renovadas, bem como pela continuidade em sua utilização para acesso dos sistema.</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ARP              </w:t>
            </w:r>
            <w:r>
              <w:rPr>
                <w:sz w:val="14"/>
                <w:szCs w:val="14"/>
              </w:rPr>
              <w:t>178/2021</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32</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R$ 17.962,00</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R$ 5.954,00</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R$ 95.264,00</w:t>
            </w:r>
          </w:p>
        </w:tc>
        <w:tc>
          <w:tcPr>
            <w:tcW w:w="7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Próprio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13/01/22</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21/02/22</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19/12/22</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13/01/27</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21/02/25</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19/12/25</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Jean Carlos Nery da Costa</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Raimundo José da Costa</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Rodrigues</w:t>
            </w:r>
          </w:p>
        </w:tc>
      </w:tr>
      <w:tr w:rsidR="004E4AF8" w:rsidTr="004E4AF8">
        <w:trPr>
          <w:cantSplit/>
          <w:trHeight w:val="3022"/>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rPr>
            </w:pPr>
            <w:r>
              <w:rPr>
                <w:sz w:val="20"/>
                <w:szCs w:val="20"/>
              </w:rPr>
              <w:lastRenderedPageBreak/>
              <w:t>13</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0006492-38.2022.8.01.0000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16 Webcam tipo1</w:t>
            </w:r>
          </w:p>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(Garantia de 2 anos)</w:t>
            </w:r>
          </w:p>
        </w:tc>
        <w:tc>
          <w:tcPr>
            <w:tcW w:w="159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Aquisição de equipamentos de áudio e vídeo necessários para cumprimento da Lei nº 13.431, de 4 de abril de 2017.</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ARP</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194/2022</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16</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R$ 2.448,00</w:t>
            </w:r>
          </w:p>
        </w:tc>
        <w:tc>
          <w:tcPr>
            <w:tcW w:w="7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Próprio</w:t>
            </w:r>
          </w:p>
        </w:tc>
        <w:tc>
          <w:tcPr>
            <w:tcW w:w="11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06/02/23</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06/02/25</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Fábio de </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Rezende </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Silveira</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Raimundo José da Costa </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Rodrigues</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2678"/>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rPr>
            </w:pPr>
            <w:r>
              <w:rPr>
                <w:sz w:val="20"/>
                <w:szCs w:val="20"/>
              </w:rPr>
              <w:t>14</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0007295-21.2022.8.01.0000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GEINS</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152/2022</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Licenças de uso do software assinatura do</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Sketchup por validade de 3 anos.</w:t>
            </w:r>
          </w:p>
        </w:tc>
        <w:tc>
          <w:tcPr>
            <w:tcW w:w="159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Modernização gráfica e tecnológica dos projetos elaborados pela equipe de Engenharia e Arquitetura do Tribunal de Justiça do Acre.</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R$ 12.350,00</w:t>
            </w:r>
          </w:p>
        </w:tc>
        <w:tc>
          <w:tcPr>
            <w:tcW w:w="7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Próprio</w:t>
            </w:r>
          </w:p>
        </w:tc>
        <w:tc>
          <w:tcPr>
            <w:tcW w:w="111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31/12/2022</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31/12/2025</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GEINS</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Jéner Pontes de Oliveira</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Flávio </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Soares </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Santos</w:t>
            </w:r>
          </w:p>
        </w:tc>
      </w:tr>
      <w:tr w:rsidR="004E4AF8" w:rsidTr="004E4AF8">
        <w:trPr>
          <w:cantSplit/>
          <w:trHeight w:val="2841"/>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t>15</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C7E2FA"/>
              </w:rPr>
            </w:pPr>
            <w:r>
              <w:rPr>
                <w:sz w:val="18"/>
                <w:szCs w:val="18"/>
                <w:shd w:val="clear" w:color="auto" w:fill="C7E2FA"/>
              </w:rPr>
              <w:t>0005798-40.2020.8.01.0000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048/2023</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ALURA – Contratação de serviços de capacitação e atualização para a equipe de desenvolvimento.</w:t>
            </w:r>
          </w:p>
        </w:tc>
        <w:tc>
          <w:tcPr>
            <w:tcW w:w="159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Capacitar a equipe técnica de TI para atender as necessidades do Tribunal de Justiça do Estado do Acre</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7</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R$ 9.240,00</w:t>
            </w:r>
          </w:p>
        </w:tc>
        <w:tc>
          <w:tcPr>
            <w:tcW w:w="7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10/07/2023</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10/07/2024</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João </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Thaumaturgo Neto</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Raquel </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Cunha da Conceição</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3537"/>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rPr>
            </w:pPr>
            <w:r>
              <w:rPr>
                <w:sz w:val="20"/>
                <w:szCs w:val="20"/>
              </w:rPr>
              <w:lastRenderedPageBreak/>
              <w:t>16</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0006809-36.2022.8.01.0000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560" w:type="dxa"/>
            <w:vAlign w:val="center"/>
          </w:tcPr>
          <w:p w:rsidR="004E4AF8" w:rsidRDefault="004E4AF8">
            <w:pP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4E4AF8">
            <w:pPr>
              <w:cnfStyle w:val="000000100000" w:firstRow="0" w:lastRow="0" w:firstColumn="0" w:lastColumn="0" w:oddVBand="0" w:evenVBand="0" w:oddHBand="1" w:evenHBand="0" w:firstRowFirstColumn="0" w:firstRowLastColumn="0" w:lastRowFirstColumn="0" w:lastRowLastColumn="0"/>
              <w:rPr>
                <w:sz w:val="16"/>
                <w:szCs w:val="16"/>
              </w:rPr>
            </w:pP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Servidores Rack Tipo I e Servidores Rack Tipo II</w:t>
            </w:r>
          </w:p>
        </w:tc>
        <w:tc>
          <w:tcPr>
            <w:tcW w:w="15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Atender o provimento de infraestrutura de TI para sustentação de todas as aplicações utilizadas no TJAC, tanto no âmbito da capital, quanto do interior.</w:t>
            </w:r>
          </w:p>
        </w:tc>
        <w:tc>
          <w:tcPr>
            <w:tcW w:w="85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ARP 8/2023</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32</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R$ 4.570.000,00</w:t>
            </w:r>
          </w:p>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6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Próprio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8/17/2023</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17/08/2028</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DITEC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Fábio de</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Rezende Silveira</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Antônio</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Augusto</w:t>
            </w:r>
          </w:p>
          <w:p w:rsidR="004E4AF8" w:rsidRDefault="00D62302">
            <w:pPr>
              <w:keepNext/>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Pereira de Lima</w:t>
            </w:r>
          </w:p>
        </w:tc>
      </w:tr>
      <w:tr w:rsidR="004E4AF8" w:rsidTr="004E4AF8">
        <w:trPr>
          <w:cantSplit/>
          <w:trHeight w:val="3537"/>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rPr>
            </w:pPr>
            <w:r>
              <w:rPr>
                <w:sz w:val="20"/>
                <w:szCs w:val="20"/>
              </w:rPr>
              <w:lastRenderedPageBreak/>
              <w:t>17</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0009688-79.2023.8.01.0000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9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171/2023</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Contratação de empresas especializadas no fornecimento de licenças do software Red Hat e tecnologia de conteinerização, incluindo sustentação, consultoria especializada e transferência de conhecimento, que serão prestados nas condições estabelecidas no Ter</w:t>
            </w:r>
            <w:r>
              <w:rPr>
                <w:sz w:val="16"/>
                <w:szCs w:val="16"/>
              </w:rPr>
              <w:t>mo de Referência, anexo do Edital nº 57/2022-TJ-MA</w:t>
            </w:r>
          </w:p>
        </w:tc>
        <w:tc>
          <w:tcPr>
            <w:tcW w:w="1590" w:type="dxa"/>
            <w:vAlign w:val="center"/>
          </w:tcPr>
          <w:p w:rsidR="004E4AF8" w:rsidRDefault="00D62302">
            <w:pPr>
              <w:spacing w:before="120" w:after="120"/>
              <w:ind w:left="120" w:right="12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 tecnologia de contêineres é uma tendência, de mercado, que visa otimizar os recursos de desenvolvimento e infraestrutura. O uso dessas tecnologias através da contratação de empresa especializada no forne</w:t>
            </w:r>
            <w:r>
              <w:rPr>
                <w:sz w:val="16"/>
                <w:szCs w:val="16"/>
              </w:rPr>
              <w:t>cimento de licenças do software Red Hat que possam ser plenamente atualizáveis ao longo do tempo, com treinamento e consultoria, favorecer a padronização e a produtividade.</w:t>
            </w:r>
          </w:p>
          <w:p w:rsidR="004E4AF8" w:rsidRDefault="00D62302">
            <w:pPr>
              <w:spacing w:before="120" w:after="120"/>
              <w:ind w:left="120" w:right="12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 busca prover, em síntese, serviços de informática com segurança, colaboração, dis</w:t>
            </w:r>
            <w:r>
              <w:rPr>
                <w:sz w:val="16"/>
                <w:szCs w:val="16"/>
              </w:rPr>
              <w:t>ponibilidade e aderência a padrões de uso amplamente difundidos.</w:t>
            </w:r>
          </w:p>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Pregão Eletrônico nº 57/2022</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 + consultoria e treinamento</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R$ 2.626.796,00</w:t>
            </w:r>
          </w:p>
        </w:tc>
        <w:tc>
          <w:tcPr>
            <w:tcW w:w="76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Próprio</w:t>
            </w:r>
          </w:p>
        </w:tc>
        <w:tc>
          <w:tcPr>
            <w:tcW w:w="1110"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26/12/2023</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26/12/2025</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Elson Correia de Oliveira Neto</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Raquel Cunha da Conceição</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3537"/>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lastRenderedPageBreak/>
              <w:t>18</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0000336-63.2024.8.01.0000</w:t>
            </w:r>
          </w:p>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C7E2FA"/>
              </w:rPr>
            </w:pPr>
            <w:r>
              <w:rPr>
                <w:rFonts w:ascii="Calibri" w:eastAsia="Calibri" w:hAnsi="Calibri" w:cs="Calibri"/>
                <w:sz w:val="22"/>
                <w:szCs w:val="22"/>
                <w:shd w:val="clear" w:color="auto" w:fill="C7E2FA"/>
              </w:rPr>
              <w:t>0005623-41.2023.8.01.0000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rPr>
              <w:t>-</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Desktop Lenovo ThinkCentre M90S Gen 4 + Monitor Lenovo ThinkVision S24</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(Garantia 60 meses)</w:t>
            </w:r>
          </w:p>
        </w:tc>
        <w:tc>
          <w:tcPr>
            <w:tcW w:w="1590" w:type="dxa"/>
            <w:vAlign w:val="center"/>
          </w:tcPr>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Aquisição de equipamentos para atender as necessidades atuais e futuras de modernização do Parque Computa</w:t>
            </w:r>
            <w:r>
              <w:rPr>
                <w:sz w:val="16"/>
                <w:szCs w:val="16"/>
                <w:shd w:val="clear" w:color="auto" w:fill="C7E2FA"/>
              </w:rPr>
              <w:t>cional do Tribunal de Justiça do Estado do Acre.</w:t>
            </w:r>
          </w:p>
        </w:tc>
        <w:tc>
          <w:tcPr>
            <w:tcW w:w="85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ARP</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179/2023</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1000</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R$ 5.750.000,00</w:t>
            </w:r>
          </w:p>
        </w:tc>
        <w:tc>
          <w:tcPr>
            <w:tcW w:w="76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05/02/2024</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05/02/2029</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Victor Hugo Lima de Souza</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Raquel Cunha da Conceição</w:t>
            </w:r>
          </w:p>
        </w:tc>
      </w:tr>
      <w:tr w:rsidR="004E4AF8" w:rsidTr="004E4AF8">
        <w:trPr>
          <w:cantSplit/>
          <w:trHeight w:val="3537"/>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t>19</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C7E2FA"/>
              </w:rPr>
            </w:pPr>
            <w:r>
              <w:rPr>
                <w:sz w:val="18"/>
                <w:szCs w:val="18"/>
                <w:shd w:val="clear" w:color="auto" w:fill="C7E2FA"/>
              </w:rPr>
              <w:t>0000312-69.2023.8.01.0000</w:t>
            </w:r>
          </w:p>
          <w:p w:rsidR="004E4AF8" w:rsidRDefault="004E4AF8">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C7E2FA"/>
              </w:rPr>
            </w:pPr>
          </w:p>
          <w:p w:rsidR="004E4AF8" w:rsidRDefault="004E4AF8">
            <w:pPr>
              <w:ind w:left="113" w:right="113"/>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C7E2FA"/>
              </w:rPr>
            </w:pPr>
          </w:p>
        </w:tc>
        <w:tc>
          <w:tcPr>
            <w:tcW w:w="750" w:type="dxa"/>
            <w:vAlign w:val="center"/>
          </w:tcPr>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rPr>
              <w:t>-</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Microfone com fio (Gooseneck)</w:t>
            </w:r>
          </w:p>
        </w:tc>
        <w:tc>
          <w:tcPr>
            <w:tcW w:w="15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aquisição de equipamentos de áudio visando suprir as necessidades do Tribunal de Justiça do Estado do Acre, especificados no Termo de Referência, anexo do edital de Pregão nº 16/2023</w:t>
            </w:r>
          </w:p>
        </w:tc>
        <w:tc>
          <w:tcPr>
            <w:tcW w:w="85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ARP</w:t>
            </w:r>
          </w:p>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41/2023</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30</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R$ 20.196,00</w:t>
            </w:r>
          </w:p>
        </w:tc>
        <w:tc>
          <w:tcPr>
            <w:tcW w:w="76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17/10/2023</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17/10/2025</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Fabio de Resende Silveira </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Raquel Cunha da Conceição</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3537"/>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lastRenderedPageBreak/>
              <w:t>20</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0000336-63.2024.8.01.0000</w:t>
            </w:r>
          </w:p>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C7E2FA"/>
              </w:rPr>
            </w:pPr>
            <w:r>
              <w:rPr>
                <w:rFonts w:ascii="Calibri" w:eastAsia="Calibri" w:hAnsi="Calibri" w:cs="Calibri"/>
                <w:sz w:val="22"/>
                <w:szCs w:val="22"/>
                <w:shd w:val="clear" w:color="auto" w:fill="C7E2FA"/>
              </w:rPr>
              <w:t>0005623-41.2023.8.01.0000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rPr>
              <w:t>-</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Monitor Lenovo ThinkVision S24</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(Garantia 60 meses)</w:t>
            </w:r>
          </w:p>
          <w:p w:rsidR="004E4AF8" w:rsidRDefault="004E4AF8">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p>
        </w:tc>
        <w:tc>
          <w:tcPr>
            <w:tcW w:w="1590" w:type="dxa"/>
            <w:vAlign w:val="center"/>
          </w:tcPr>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Aquisição de equipamentos para atender as necessidades atuais e futuras de modernização do Parque Computacional do Tribunal de Justiça do Estado do Acre.</w:t>
            </w:r>
          </w:p>
        </w:tc>
        <w:tc>
          <w:tcPr>
            <w:tcW w:w="85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ARP</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179/2023</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3100</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R$ 2.858.200,00</w:t>
            </w:r>
          </w:p>
        </w:tc>
        <w:tc>
          <w:tcPr>
            <w:tcW w:w="76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05/02/2024</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05/02/2029</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Victor Hugo Lima de Souza</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Raquel</w:t>
            </w:r>
            <w:r>
              <w:rPr>
                <w:sz w:val="16"/>
                <w:szCs w:val="16"/>
                <w:shd w:val="clear" w:color="auto" w:fill="C7E2FA"/>
              </w:rPr>
              <w:t xml:space="preserve"> Cunha da Conceição</w:t>
            </w:r>
          </w:p>
        </w:tc>
      </w:tr>
      <w:tr w:rsidR="004E4AF8" w:rsidTr="004E4AF8">
        <w:trPr>
          <w:cantSplit/>
          <w:trHeight w:val="3537"/>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t>21</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0000338-33.2024.8.01.0000</w:t>
            </w:r>
          </w:p>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0005623-41.2023.8.01.0000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rPr>
              <w:t>-</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Workstation Lenovo ThinkStation</w:t>
            </w:r>
          </w:p>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P3 Gen 1 + Monitor Lenovo</w:t>
            </w:r>
          </w:p>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ThinkVision T27i</w:t>
            </w:r>
          </w:p>
        </w:tc>
        <w:tc>
          <w:tcPr>
            <w:tcW w:w="1590" w:type="dxa"/>
            <w:vAlign w:val="center"/>
          </w:tcPr>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Aquisição de equipamentos para atender as necessidades atuais e futuras de modernização do Parque Computacional do Tribunal de Justiça do Estado do Acre.</w:t>
            </w:r>
          </w:p>
        </w:tc>
        <w:tc>
          <w:tcPr>
            <w:tcW w:w="85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ARP</w:t>
            </w:r>
          </w:p>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193/2023</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60</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R$ 1.008.000,00</w:t>
            </w:r>
          </w:p>
        </w:tc>
        <w:tc>
          <w:tcPr>
            <w:tcW w:w="76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11/01/2024</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11/01/2025</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Victor Hugo Lima de Souza</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Raquel C</w:t>
            </w:r>
            <w:r>
              <w:rPr>
                <w:sz w:val="16"/>
                <w:szCs w:val="16"/>
                <w:shd w:val="clear" w:color="auto" w:fill="C7E2FA"/>
              </w:rPr>
              <w:t>unha da Conceição</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3537"/>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lastRenderedPageBreak/>
              <w:t>22</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0000126-12.2024.8.01.0000</w:t>
            </w:r>
          </w:p>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0005623-41.2023.8.01.0000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NOTEBOOK MARCA:</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LENOVO MODELO:</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L14 Gen 3 AMD</w:t>
            </w:r>
          </w:p>
        </w:tc>
        <w:tc>
          <w:tcPr>
            <w:tcW w:w="1590" w:type="dxa"/>
            <w:vAlign w:val="center"/>
          </w:tcPr>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Aquisição de equipamentos para atender as necessidades atuais e futuras de modernização do Parque Computacional do Tribunal de Justiça do Estado do Acre.</w:t>
            </w:r>
          </w:p>
        </w:tc>
        <w:tc>
          <w:tcPr>
            <w:tcW w:w="85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ARP</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195/2023</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300</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R$ 1.352.400,00</w:t>
            </w:r>
          </w:p>
        </w:tc>
        <w:tc>
          <w:tcPr>
            <w:tcW w:w="76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03/01/24</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03/01/25</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Victor Hugo Lima de Souza</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Raquel Cunha da Conceição</w:t>
            </w:r>
          </w:p>
        </w:tc>
      </w:tr>
      <w:tr w:rsidR="004E4AF8" w:rsidTr="004E4AF8">
        <w:trPr>
          <w:cantSplit/>
          <w:trHeight w:val="3537"/>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t>23</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0003336-08.2023.8.01.0000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GEINS</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066/2023</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uso do banco de dados SINAPI - Registro de Preços</w:t>
            </w:r>
          </w:p>
        </w:tc>
        <w:tc>
          <w:tcPr>
            <w:tcW w:w="1590" w:type="dxa"/>
            <w:vAlign w:val="center"/>
          </w:tcPr>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Contratação eventual de concessão de uso de softwares para atender as necessidades do Tribunal de justiça do Estado do Acre, em específico da Gerência de Instalações, conforme relação abaixo, pelo período de 24 meses com a possibilidade de prorrogação com </w:t>
            </w:r>
            <w:r>
              <w:rPr>
                <w:sz w:val="16"/>
                <w:szCs w:val="16"/>
                <w:shd w:val="clear" w:color="auto" w:fill="C7E2FA"/>
              </w:rPr>
              <w:t>fulcro no art. 57 da Lei nº 8.666/93.</w:t>
            </w:r>
          </w:p>
        </w:tc>
        <w:tc>
          <w:tcPr>
            <w:tcW w:w="85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1</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 R$  </w:t>
            </w:r>
          </w:p>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1.998,00 </w:t>
            </w:r>
          </w:p>
        </w:tc>
        <w:tc>
          <w:tcPr>
            <w:tcW w:w="76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26/06/23</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26/06/25</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Jéner Pontes de Oliveira </w:t>
            </w:r>
          </w:p>
        </w:tc>
        <w:tc>
          <w:tcPr>
            <w:tcW w:w="945" w:type="dxa"/>
            <w:vAlign w:val="center"/>
          </w:tcPr>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Gustavo Henrique Nunes Ferraz Costa</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3537"/>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lastRenderedPageBreak/>
              <w:t>24</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0004880-31.2023.8.01.0000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143/2023</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Qlik Analytics Platform (QAP), com 04 núcleos de processamento por 12 meses.</w:t>
            </w:r>
          </w:p>
        </w:tc>
        <w:tc>
          <w:tcPr>
            <w:tcW w:w="1590" w:type="dxa"/>
            <w:vAlign w:val="center"/>
          </w:tcPr>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Atender às demandas inerentes a transparência e demais entidades e/ou o público externo que acompanha este Poder Judiciário do Estado do Acre. Esse ambiente adicional permitirá a geração de relatórios e painéis de dados para fornecer informações claras e a</w:t>
            </w:r>
            <w:r>
              <w:rPr>
                <w:sz w:val="16"/>
                <w:szCs w:val="16"/>
                <w:shd w:val="clear" w:color="auto" w:fill="C7E2FA"/>
              </w:rPr>
              <w:t>cessíveis.</w:t>
            </w:r>
          </w:p>
        </w:tc>
        <w:tc>
          <w:tcPr>
            <w:tcW w:w="85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ARP</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1</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 xml:space="preserve"> R$  249.600,00 </w:t>
            </w:r>
          </w:p>
        </w:tc>
        <w:tc>
          <w:tcPr>
            <w:tcW w:w="76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30/10/23</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30/10/24</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Josana Aymara Pereira Nishihira</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Raquel Cunha da Conceição</w:t>
            </w:r>
          </w:p>
        </w:tc>
      </w:tr>
      <w:tr w:rsidR="004E4AF8" w:rsidTr="004E4AF8">
        <w:trPr>
          <w:cantSplit/>
          <w:trHeight w:val="1350"/>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t>25</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0004554-71.2023.8.01.0000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144/2023</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Ferramenta de Gestão de Projetos, Plugins Agenda Presidência e Reformulação dos Portais do TJAC.</w:t>
            </w:r>
          </w:p>
        </w:tc>
        <w:tc>
          <w:tcPr>
            <w:tcW w:w="1590" w:type="dxa"/>
            <w:vAlign w:val="center"/>
          </w:tcPr>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Melhorar gerenciamento de projetos e atender as demandas solicitadas, com relação aos Portais do TJAC, dentre outras demandas relacionadas a alimentação das pá</w:t>
            </w:r>
            <w:r>
              <w:rPr>
                <w:sz w:val="16"/>
                <w:szCs w:val="16"/>
                <w:shd w:val="clear" w:color="auto" w:fill="C7E2FA"/>
              </w:rPr>
              <w:t>ginas de internet do TJAC.</w:t>
            </w:r>
          </w:p>
        </w:tc>
        <w:tc>
          <w:tcPr>
            <w:tcW w:w="85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Licitação</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8</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R$ 7.563,76</w:t>
            </w:r>
          </w:p>
        </w:tc>
        <w:tc>
          <w:tcPr>
            <w:tcW w:w="76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20/11/23</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20/11/24</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Robson Luiz Fernandes</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Raquel Cunha da Conceição</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1350"/>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lastRenderedPageBreak/>
              <w:t>26</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0004927-05.2023.8.01.0000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145/2023</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PDPJ -Br - Aquisição de equipamento de storage para expansão do armazenamento atual, visando o crescimento com novas aplicações.</w:t>
            </w:r>
          </w:p>
        </w:tc>
        <w:tc>
          <w:tcPr>
            <w:tcW w:w="1590" w:type="dxa"/>
            <w:vAlign w:val="center"/>
          </w:tcPr>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"Prover a expansão do</w:t>
            </w:r>
          </w:p>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armazenamento de dados das aplicações (SEI,</w:t>
            </w:r>
          </w:p>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SAJ, folha de pagamento, etc.) visando o</w:t>
            </w:r>
          </w:p>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surgimento de novas</w:t>
            </w:r>
          </w:p>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soluções para</w:t>
            </w:r>
          </w:p>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atender as necessidades estratégicas do</w:t>
            </w:r>
          </w:p>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TJAC, essenciais à prestação jurisdicional.</w:t>
            </w:r>
          </w:p>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w:t>
            </w:r>
          </w:p>
          <w:p w:rsidR="004E4AF8" w:rsidRDefault="004E4AF8">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p>
        </w:tc>
        <w:tc>
          <w:tcPr>
            <w:tcW w:w="85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ARP</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019/22</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2</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R$</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6.384.460,18</w:t>
            </w:r>
          </w:p>
        </w:tc>
        <w:tc>
          <w:tcPr>
            <w:tcW w:w="76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09/05/24</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09/11/24</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Elson Correia de Oliveira Neto</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Raquel Cunha da Conceição</w:t>
            </w:r>
          </w:p>
        </w:tc>
      </w:tr>
      <w:tr w:rsidR="004E4AF8" w:rsidTr="004E4AF8">
        <w:trPr>
          <w:cantSplit/>
          <w:trHeight w:val="1350"/>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t>27</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0008823-56.2023.8.01.0000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146/2023</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Aquisição de Equipamentos de Informática</w:t>
            </w:r>
          </w:p>
        </w:tc>
        <w:tc>
          <w:tcPr>
            <w:tcW w:w="1590" w:type="dxa"/>
            <w:vAlign w:val="center"/>
          </w:tcPr>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Trata-se de demanda da Presidência deste Tribunal de Justiça, tendo como objetivo aquisição de notebook para que os magistrados tenham suporte tecnológico para desenvolvimento de suas atividades.</w:t>
            </w:r>
          </w:p>
        </w:tc>
        <w:tc>
          <w:tcPr>
            <w:tcW w:w="85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ARP 002/23</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10</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 R$ 61.900,00</w:t>
            </w:r>
          </w:p>
        </w:tc>
        <w:tc>
          <w:tcPr>
            <w:tcW w:w="76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07/11/23</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07/11/24</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Elson Correia de Oliveira Neto</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Raquel Cunha da Conceição</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1350"/>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lastRenderedPageBreak/>
              <w:t>28</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0004554-71.2023.8.01.0000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151/2023</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Licença elementor pro - Anual</w:t>
            </w:r>
          </w:p>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Licença crocobloc - Lifetime</w:t>
            </w:r>
          </w:p>
          <w:p w:rsidR="004E4AF8" w:rsidRDefault="004E4AF8">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p>
        </w:tc>
        <w:tc>
          <w:tcPr>
            <w:tcW w:w="1590" w:type="dxa"/>
            <w:vAlign w:val="center"/>
          </w:tcPr>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Melhorar gerenciamento de projetos e</w:t>
            </w:r>
          </w:p>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atender as demandas</w:t>
            </w:r>
          </w:p>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solicitadas, com relação</w:t>
            </w:r>
          </w:p>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aos Portais do TJAC,</w:t>
            </w:r>
          </w:p>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dentre outras demandas relacionadas a alimentação das páginas</w:t>
            </w:r>
          </w:p>
          <w:p w:rsidR="004E4AF8" w:rsidRDefault="00D62302">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de internet do TJAC.</w:t>
            </w:r>
          </w:p>
          <w:p w:rsidR="004E4AF8" w:rsidRDefault="004E4AF8">
            <w:pPr>
              <w:jc w:val="left"/>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p>
        </w:tc>
        <w:tc>
          <w:tcPr>
            <w:tcW w:w="85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Licitação</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50</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 xml:space="preserve"> R$ </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 xml:space="preserve"> 4.795,00 </w:t>
            </w:r>
          </w:p>
        </w:tc>
        <w:tc>
          <w:tcPr>
            <w:tcW w:w="76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06/12/23</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06/12/24</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Robson Luiz Fernandes</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Raquel Cunha da Conceição</w:t>
            </w:r>
          </w:p>
        </w:tc>
      </w:tr>
      <w:tr w:rsidR="004E4AF8" w:rsidTr="004E4AF8">
        <w:trPr>
          <w:cantSplit/>
          <w:trHeight w:val="4089"/>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t>29</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0003573-42.2023.8.01.0000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159/2023</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Módulo de Planejamento Estratégico</w:t>
            </w:r>
          </w:p>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Módulo de Processo Eletrônico</w:t>
            </w:r>
          </w:p>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Manutenção/suporte mensal</w:t>
            </w:r>
          </w:p>
        </w:tc>
        <w:tc>
          <w:tcPr>
            <w:tcW w:w="1590" w:type="dxa"/>
            <w:vAlign w:val="center"/>
          </w:tcPr>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Contratação dos modulos</w:t>
            </w:r>
          </w:p>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 adicionais da aplicação</w:t>
            </w:r>
          </w:p>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 GRP-Thema por meio </w:t>
            </w:r>
          </w:p>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do fornecimento dos serviços</w:t>
            </w:r>
          </w:p>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 de licenciamento, implantação</w:t>
            </w:r>
          </w:p>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customização, integração,</w:t>
            </w:r>
          </w:p>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 manutenção, treinamento, consultoria</w:t>
            </w:r>
          </w:p>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 e suporte da solução GRP Thema® Web</w:t>
            </w:r>
          </w:p>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 para atender as necessidades </w:t>
            </w:r>
          </w:p>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do Poder Judiciário do Estado do Acre</w:t>
            </w:r>
          </w:p>
          <w:p w:rsidR="004E4AF8" w:rsidRDefault="004E4AF8">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Inexigi- bilidade de Licitação</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1</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 xml:space="preserve"> R$  447.161,70</w:t>
            </w:r>
          </w:p>
        </w:tc>
        <w:tc>
          <w:tcPr>
            <w:tcW w:w="76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11/12/23</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11/12/24</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Josana Aymara Pereira Nishihira</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Raquel Cunha da Conceição</w:t>
            </w:r>
          </w:p>
        </w:tc>
      </w:tr>
      <w:tr w:rsidR="004E4AF8" w:rsidTr="004E4AF8">
        <w:trPr>
          <w:cnfStyle w:val="000000100000" w:firstRow="0" w:lastRow="0" w:firstColumn="0" w:lastColumn="0" w:oddVBand="0" w:evenVBand="0" w:oddHBand="1" w:evenHBand="0" w:firstRowFirstColumn="0" w:firstRowLastColumn="0" w:lastRowFirstColumn="0" w:lastRowLastColumn="0"/>
          <w:cantSplit/>
          <w:trHeight w:val="4089"/>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lastRenderedPageBreak/>
              <w:t>30</w:t>
            </w:r>
          </w:p>
        </w:tc>
        <w:tc>
          <w:tcPr>
            <w:tcW w:w="1215" w:type="dxa"/>
            <w:vAlign w:val="center"/>
          </w:tcPr>
          <w:p w:rsidR="004E4AF8" w:rsidRDefault="00D62302">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0004926-20.2023.8.01.0000</w:t>
            </w:r>
          </w:p>
        </w:tc>
        <w:tc>
          <w:tcPr>
            <w:tcW w:w="75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56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 presente Ata tem por objeto o registro de preços para a eventual contratação de empresa para fornecimento de infraestrutura de backup, contendo software/serviços, licenças e equipamentos de proteção de dados, objetivando a expansão da infraestrutura de T</w:t>
            </w:r>
            <w:r>
              <w:rPr>
                <w:sz w:val="16"/>
                <w:szCs w:val="16"/>
              </w:rPr>
              <w:t>IC do Tribunal de Justiça do Estado do Acre.</w:t>
            </w:r>
          </w:p>
        </w:tc>
        <w:tc>
          <w:tcPr>
            <w:tcW w:w="1590"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 contratação possui cunho estratégico, de modo que o Tribunal continua a enxergar a digitalização do serviço público como elemento fundamental no processo de acessibilidade e transparência do erário. A continui</w:t>
            </w:r>
            <w:r>
              <w:rPr>
                <w:sz w:val="16"/>
                <w:szCs w:val="16"/>
              </w:rPr>
              <w:t>dade operacional tecnológica possui efeito direto nos operadores técnicos da infraestrutura, mas também atinge a população acreana que depende das aplicações as quais são sustentadas por essa instituição pública.</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ARP</w:t>
            </w:r>
          </w:p>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166/2023</w:t>
            </w:r>
          </w:p>
        </w:tc>
        <w:tc>
          <w:tcPr>
            <w:tcW w:w="5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w:t>
            </w:r>
          </w:p>
        </w:tc>
        <w:tc>
          <w:tcPr>
            <w:tcW w:w="103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R$ 8.459.427,00</w:t>
            </w:r>
          </w:p>
        </w:tc>
        <w:tc>
          <w:tcPr>
            <w:tcW w:w="765"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29/12/2023</w:t>
            </w:r>
          </w:p>
        </w:tc>
        <w:tc>
          <w:tcPr>
            <w:tcW w:w="106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29/12/2025</w:t>
            </w:r>
          </w:p>
        </w:tc>
        <w:tc>
          <w:tcPr>
            <w:tcW w:w="109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Elson Correia de Oliveira Neto</w:t>
            </w:r>
          </w:p>
        </w:tc>
        <w:tc>
          <w:tcPr>
            <w:tcW w:w="9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shd w:val="clear" w:color="auto" w:fill="C7E2FA"/>
              </w:rPr>
            </w:pPr>
            <w:r>
              <w:rPr>
                <w:sz w:val="16"/>
                <w:szCs w:val="16"/>
                <w:shd w:val="clear" w:color="auto" w:fill="C7E2FA"/>
              </w:rPr>
              <w:t xml:space="preserve">Raquel Cunha da Conceição </w:t>
            </w:r>
          </w:p>
        </w:tc>
      </w:tr>
      <w:tr w:rsidR="004E4AF8" w:rsidTr="004E4AF8">
        <w:trPr>
          <w:cantSplit/>
          <w:trHeight w:val="4089"/>
          <w:jc w:val="center"/>
        </w:trPr>
        <w:tc>
          <w:tcPr>
            <w:cnfStyle w:val="001000000000" w:firstRow="0" w:lastRow="0" w:firstColumn="1" w:lastColumn="0" w:oddVBand="0" w:evenVBand="0" w:oddHBand="0" w:evenHBand="0" w:firstRowFirstColumn="0" w:firstRowLastColumn="0" w:lastRowFirstColumn="0" w:lastRowLastColumn="0"/>
            <w:tcW w:w="435" w:type="dxa"/>
            <w:shd w:val="clear" w:color="auto" w:fill="2191C9"/>
            <w:vAlign w:val="center"/>
          </w:tcPr>
          <w:p w:rsidR="004E4AF8" w:rsidRDefault="00D62302">
            <w:pPr>
              <w:ind w:left="113" w:right="113"/>
              <w:jc w:val="center"/>
              <w:rPr>
                <w:sz w:val="20"/>
                <w:szCs w:val="20"/>
                <w:shd w:val="clear" w:color="auto" w:fill="2191C9"/>
              </w:rPr>
            </w:pPr>
            <w:r>
              <w:rPr>
                <w:sz w:val="20"/>
                <w:szCs w:val="20"/>
                <w:shd w:val="clear" w:color="auto" w:fill="2191C9"/>
              </w:rPr>
              <w:lastRenderedPageBreak/>
              <w:t>31</w:t>
            </w:r>
          </w:p>
        </w:tc>
        <w:tc>
          <w:tcPr>
            <w:tcW w:w="1215" w:type="dxa"/>
            <w:vAlign w:val="center"/>
          </w:tcPr>
          <w:p w:rsidR="004E4AF8" w:rsidRDefault="00D6230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shd w:val="clear" w:color="auto" w:fill="C7E2FA"/>
              </w:rPr>
            </w:pPr>
            <w:r>
              <w:rPr>
                <w:rFonts w:ascii="Calibri" w:eastAsia="Calibri" w:hAnsi="Calibri" w:cs="Calibri"/>
                <w:sz w:val="22"/>
                <w:szCs w:val="22"/>
                <w:shd w:val="clear" w:color="auto" w:fill="C7E2FA"/>
              </w:rPr>
              <w:t>0010174-74.2017.8.01.0000</w:t>
            </w:r>
          </w:p>
        </w:tc>
        <w:tc>
          <w:tcPr>
            <w:tcW w:w="75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96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74/2023</w:t>
            </w:r>
          </w:p>
        </w:tc>
        <w:tc>
          <w:tcPr>
            <w:tcW w:w="156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DATA CENTER Pré-Fabricado OUTDOOR (DCPFO)</w:t>
            </w:r>
          </w:p>
        </w:tc>
        <w:tc>
          <w:tcPr>
            <w:tcW w:w="1590"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Aprimoramento dos processos internos, adequação da capacidade de Tecnologia da Informação ao crescimento do negócio, adequação da infraestrutura de hardware e de telecomunicações, bem como de contingência e “backup” e, assim, garantir níveis de serviços de</w:t>
            </w:r>
            <w:r>
              <w:rPr>
                <w:sz w:val="16"/>
                <w:szCs w:val="16"/>
              </w:rPr>
              <w:t xml:space="preserve"> segurança da informação e patrimonial satisfatórios, mantendo um alto grau de desempenho, gerenciamento, disponibilidade, robustez e segurança.</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Adesão ao Pregão Eletrônico nº 120/2022</w:t>
            </w:r>
          </w:p>
        </w:tc>
        <w:tc>
          <w:tcPr>
            <w:tcW w:w="51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1</w:t>
            </w:r>
          </w:p>
        </w:tc>
        <w:tc>
          <w:tcPr>
            <w:tcW w:w="103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R$ 8.300.000,00</w:t>
            </w:r>
          </w:p>
        </w:tc>
        <w:tc>
          <w:tcPr>
            <w:tcW w:w="765"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Próprio</w:t>
            </w:r>
          </w:p>
        </w:tc>
        <w:tc>
          <w:tcPr>
            <w:tcW w:w="1110" w:type="dxa"/>
            <w:vAlign w:val="center"/>
          </w:tcPr>
          <w:p w:rsidR="004E4AF8" w:rsidRDefault="00D62302">
            <w:pPr>
              <w:jc w:val="left"/>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24/10/2023</w:t>
            </w:r>
          </w:p>
        </w:tc>
        <w:tc>
          <w:tcPr>
            <w:tcW w:w="106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24/10/28</w:t>
            </w:r>
          </w:p>
        </w:tc>
        <w:tc>
          <w:tcPr>
            <w:tcW w:w="109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DITEC</w:t>
            </w:r>
          </w:p>
        </w:tc>
        <w:tc>
          <w:tcPr>
            <w:tcW w:w="85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Elson Correia de Ol</w:t>
            </w:r>
            <w:r>
              <w:rPr>
                <w:sz w:val="16"/>
                <w:szCs w:val="16"/>
                <w:shd w:val="clear" w:color="auto" w:fill="C7E2FA"/>
              </w:rPr>
              <w:t>iveira Neto</w:t>
            </w:r>
          </w:p>
        </w:tc>
        <w:tc>
          <w:tcPr>
            <w:tcW w:w="9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shd w:val="clear" w:color="auto" w:fill="C7E2FA"/>
              </w:rPr>
            </w:pPr>
            <w:r>
              <w:rPr>
                <w:sz w:val="16"/>
                <w:szCs w:val="16"/>
                <w:shd w:val="clear" w:color="auto" w:fill="C7E2FA"/>
              </w:rPr>
              <w:t>Raquel Cunha da Conceição</w:t>
            </w:r>
          </w:p>
        </w:tc>
      </w:tr>
    </w:tbl>
    <w:p w:rsidR="004E4AF8" w:rsidRDefault="00D62302">
      <w:pPr>
        <w:pStyle w:val="Ttulo5"/>
        <w:spacing w:after="200" w:line="240" w:lineRule="auto"/>
      </w:pPr>
      <w:bookmarkStart w:id="13" w:name="_heading=h.3rdcrjn" w:colFirst="0" w:colLast="0"/>
      <w:bookmarkEnd w:id="13"/>
      <w:r>
        <w:t>Tabela 3 - Bens e Serviços em Garantia</w:t>
      </w:r>
    </w:p>
    <w:p w:rsidR="004E4AF8" w:rsidRDefault="00D62302">
      <w:pPr>
        <w:pStyle w:val="Ttulo2"/>
        <w:numPr>
          <w:ilvl w:val="1"/>
          <w:numId w:val="5"/>
        </w:numPr>
      </w:pPr>
      <w:bookmarkStart w:id="14" w:name="_heading=h.26in1rg" w:colFirst="0" w:colLast="0"/>
      <w:bookmarkEnd w:id="14"/>
      <w:r>
        <w:t>Ações de Capacitação</w:t>
      </w:r>
    </w:p>
    <w:p w:rsidR="004E4AF8" w:rsidRDefault="00D62302">
      <w:r>
        <w:t>A estimativa de Custo para o desenvolvimento das ações de capacitações dos servidores lotados na DITEC é de aproximadamente R$2.448.291,00 (Dois milhões quatrocentos e quarenta e oito mil duzentos e noventa e um reais).</w:t>
      </w:r>
    </w:p>
    <w:p w:rsidR="004E4AF8" w:rsidRDefault="004E4AF8"/>
    <w:p w:rsidR="004E4AF8" w:rsidRDefault="004E4AF8"/>
    <w:p w:rsidR="004E4AF8" w:rsidRDefault="004E4AF8"/>
    <w:p w:rsidR="004E4AF8" w:rsidRDefault="00D62302">
      <w:pPr>
        <w:pStyle w:val="Ttulo3"/>
        <w:numPr>
          <w:ilvl w:val="2"/>
          <w:numId w:val="5"/>
        </w:numPr>
      </w:pPr>
      <w:bookmarkStart w:id="15" w:name="_heading=h.lnxbz9" w:colFirst="0" w:colLast="0"/>
      <w:bookmarkEnd w:id="15"/>
      <w:r>
        <w:t>Gerência de Segurança da Informaç</w:t>
      </w:r>
      <w:r>
        <w:t>ão</w:t>
      </w:r>
    </w:p>
    <w:tbl>
      <w:tblPr>
        <w:tblStyle w:val="afffffffffffffff5"/>
        <w:tblW w:w="145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07"/>
        <w:gridCol w:w="1251"/>
        <w:gridCol w:w="1609"/>
        <w:gridCol w:w="1617"/>
        <w:gridCol w:w="897"/>
        <w:gridCol w:w="1845"/>
        <w:gridCol w:w="1457"/>
        <w:gridCol w:w="1213"/>
        <w:gridCol w:w="1282"/>
        <w:gridCol w:w="1282"/>
      </w:tblGrid>
      <w:tr w:rsidR="004E4AF8" w:rsidTr="004E4AF8">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107" w:type="dxa"/>
            <w:vAlign w:val="center"/>
          </w:tcPr>
          <w:p w:rsidR="004E4AF8" w:rsidRDefault="00D62302">
            <w:pPr>
              <w:jc w:val="center"/>
              <w:rPr>
                <w:rFonts w:ascii="Arial" w:eastAsia="Arial" w:hAnsi="Arial" w:cs="Arial"/>
              </w:rPr>
            </w:pPr>
            <w:r>
              <w:rPr>
                <w:rFonts w:ascii="Arial" w:eastAsia="Arial" w:hAnsi="Arial" w:cs="Arial"/>
              </w:rPr>
              <w:t>Nome do Curso</w:t>
            </w:r>
          </w:p>
        </w:tc>
        <w:tc>
          <w:tcPr>
            <w:tcW w:w="1251"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Público Alvo</w:t>
            </w:r>
          </w:p>
        </w:tc>
        <w:tc>
          <w:tcPr>
            <w:tcW w:w="1609"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Arial" w:eastAsia="Arial" w:hAnsi="Arial" w:cs="Arial"/>
                <w:sz w:val="22"/>
                <w:szCs w:val="22"/>
              </w:rPr>
              <w:t>Participante</w:t>
            </w:r>
            <w:r>
              <w:rPr>
                <w:rFonts w:ascii="Arial" w:eastAsia="Arial" w:hAnsi="Arial" w:cs="Arial"/>
              </w:rPr>
              <w:t>s</w:t>
            </w:r>
          </w:p>
        </w:tc>
        <w:tc>
          <w:tcPr>
            <w:tcW w:w="1617"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Modalidade</w:t>
            </w:r>
          </w:p>
        </w:tc>
        <w:tc>
          <w:tcPr>
            <w:tcW w:w="897"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Turno</w:t>
            </w:r>
          </w:p>
        </w:tc>
        <w:tc>
          <w:tcPr>
            <w:tcW w:w="184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Resultados Esperados</w:t>
            </w:r>
          </w:p>
        </w:tc>
        <w:tc>
          <w:tcPr>
            <w:tcW w:w="1457"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Criticidade</w:t>
            </w:r>
          </w:p>
        </w:tc>
        <w:tc>
          <w:tcPr>
            <w:tcW w:w="1213"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Custo Previsto</w:t>
            </w:r>
          </w:p>
        </w:tc>
        <w:tc>
          <w:tcPr>
            <w:tcW w:w="1282"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Valor estimado vaga</w:t>
            </w:r>
          </w:p>
        </w:tc>
        <w:tc>
          <w:tcPr>
            <w:tcW w:w="1282"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Valor estimado total</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Alcatel Lucent Network</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05</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Implementar redes de alta velocidade com alta disponibilidade.</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R$ 50.000,00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Windows Server 2016/2019 - WS-011 (Infraestrutura)</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05</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Administração e manutenção do sistema operacional Windows Server 2016/2019</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R$ 50.000,00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Windows Server 2019 - 20744-C (Segurança)</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05</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Implementar boas práticas de segurança e proteção de dados em ambientes Windows Server 2016.</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R$ 50.000,00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Capacitação em Cybersecurity Blue Team</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05</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Treinamento em técnicas de defesa cibernética, com vistas a fomentar a segurança e reduzir a </w:t>
            </w:r>
            <w:r>
              <w:rPr>
                <w:rFonts w:ascii="Arial" w:eastAsia="Arial" w:hAnsi="Arial" w:cs="Arial"/>
                <w:sz w:val="20"/>
                <w:szCs w:val="20"/>
              </w:rPr>
              <w:lastRenderedPageBreak/>
              <w:t>superfície de ataque.</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R$ 50.000,00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Capacitação em Tratamento e Resposta a Incidentes Cibernéticos.</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Treinamento em técnicas de resposta a incidentes cibernéticos, coleta de dados, auditoria e recuperação de desastre.</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R$ 120.000,00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Curso Preparatório para CEH – Certified Ethical Hacker</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w:t>
            </w:r>
            <w:r>
              <w:rPr>
                <w:rFonts w:ascii="Arial" w:eastAsia="Arial" w:hAnsi="Arial" w:cs="Arial"/>
                <w:sz w:val="20"/>
                <w:szCs w:val="20"/>
              </w:rPr>
              <w:t>res GESEG</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05</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Implementar as melhores práticas e técnicas de segurança da informação para mitigar riscos de invasões e perca de dados.</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R$ 50.000,00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VMWare V8 – Install, Configure, Manage.</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05</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Arial" w:eastAsia="Arial" w:hAnsi="Arial" w:cs="Arial"/>
                <w:sz w:val="20"/>
                <w:szCs w:val="20"/>
              </w:rPr>
              <w:t>Instalar, configurar e gerenciar ambientes de máquinas virtuais</w:t>
            </w:r>
            <w:r>
              <w:rPr>
                <w:rFonts w:ascii="Arial" w:eastAsia="Arial" w:hAnsi="Arial" w:cs="Arial"/>
                <w:sz w:val="20"/>
                <w:szCs w:val="20"/>
              </w:rPr>
              <w:br/>
              <w:t>Vmware.</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R$ 50.000,00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VMWare V8 – Troubleshooting Workshop.</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05</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Análise e resolução de problemas em ambientes de máquinas virtuais Vmware.</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R$ 50.000,00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Técnicas de computação forense</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Entender na prática as técnicas utilizadas por investigadores e peritos forenses </w:t>
            </w:r>
            <w:r>
              <w:rPr>
                <w:rFonts w:ascii="Arial" w:eastAsia="Arial" w:hAnsi="Arial" w:cs="Arial"/>
                <w:sz w:val="20"/>
                <w:szCs w:val="20"/>
              </w:rPr>
              <w:lastRenderedPageBreak/>
              <w:t>para resolver seus incidentes.</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R$ 120.000,00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Especialista Elastic Stack – Elasticsearch, Logstash, Beats E Kibana</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Analise de Dados de infraestrutura e gerenciamento de logs.</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R$ 50.000,00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Times New Roman" w:eastAsia="Times New Roman" w:hAnsi="Times New Roman" w:cs="Times New Roman"/>
                <w:sz w:val="20"/>
                <w:szCs w:val="20"/>
              </w:rPr>
            </w:pPr>
            <w:r>
              <w:rPr>
                <w:rFonts w:ascii="Arial" w:eastAsia="Arial" w:hAnsi="Arial" w:cs="Arial"/>
                <w:sz w:val="20"/>
                <w:szCs w:val="20"/>
              </w:rPr>
              <w:t>Curso de Gestão em Segurança da</w:t>
            </w:r>
            <w:r>
              <w:rPr>
                <w:rFonts w:ascii="Arial" w:eastAsia="Arial" w:hAnsi="Arial" w:cs="Arial"/>
                <w:sz w:val="20"/>
                <w:szCs w:val="20"/>
              </w:rPr>
              <w:br/>
              <w:t>Informação ISO 27001 e 27002 e NBR relacionadas</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08</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Gerir e implementar as melhores práticas de Segurança da Informação em ambientes lógicos e físicos.</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R$ 80.000,00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Curso de ITIL</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Framework para entrega de serviços de infraestr</w:t>
            </w:r>
            <w:r>
              <w:rPr>
                <w:rFonts w:ascii="Arial" w:eastAsia="Arial" w:hAnsi="Arial" w:cs="Arial"/>
                <w:sz w:val="20"/>
                <w:szCs w:val="20"/>
              </w:rPr>
              <w:t>utura e segurança da informação.</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R$ 60.000,00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Curso de COBIT</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Arial" w:eastAsia="Arial" w:hAnsi="Arial" w:cs="Arial"/>
                <w:sz w:val="20"/>
                <w:szCs w:val="20"/>
              </w:rPr>
              <w:t>Framework para entrega de serviços de infraestrutura e</w:t>
            </w:r>
            <w:r>
              <w:rPr>
                <w:rFonts w:ascii="Arial" w:eastAsia="Arial" w:hAnsi="Arial" w:cs="Arial"/>
                <w:sz w:val="20"/>
                <w:szCs w:val="20"/>
              </w:rPr>
              <w:br/>
              <w:t>segurança da informação.</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R$ 60.000,00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CCNA 200-301 – Curso oficial, com cadastro dos alunos no portal da Cisco</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Treinamento complementar sobre soluções de segurança e infraestrutura</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R$ 100.000,00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Curso de Contratações Públicas de TI</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Arial" w:eastAsia="Arial" w:hAnsi="Arial" w:cs="Arial"/>
                <w:sz w:val="20"/>
                <w:szCs w:val="20"/>
              </w:rPr>
              <w:t>Dominar as particularidades em contratações públicas de TI,</w:t>
            </w:r>
            <w:r>
              <w:rPr>
                <w:rFonts w:ascii="Arial" w:eastAsia="Arial" w:hAnsi="Arial" w:cs="Arial"/>
                <w:sz w:val="20"/>
                <w:szCs w:val="20"/>
              </w:rPr>
              <w:br/>
              <w:t xml:space="preserve">melhores práticas </w:t>
            </w:r>
            <w:r>
              <w:rPr>
                <w:rFonts w:ascii="Arial" w:eastAsia="Arial" w:hAnsi="Arial" w:cs="Arial"/>
                <w:sz w:val="20"/>
                <w:szCs w:val="20"/>
              </w:rPr>
              <w:lastRenderedPageBreak/>
              <w:t>de planejamento de contratações de acordo com as normas vigentes e os órgãos de controle.</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R$ 60.000,00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Curso de Gestão e Fiscalização de contratos de TI</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Dominar as particularidades em gestão e fiscalização de contratas públicos de TI, melhores práticas de execução de</w:t>
            </w:r>
            <w:r>
              <w:rPr>
                <w:rFonts w:ascii="Arial" w:eastAsia="Arial" w:hAnsi="Arial" w:cs="Arial"/>
                <w:sz w:val="20"/>
                <w:szCs w:val="20"/>
              </w:rPr>
              <w:br/>
            </w:r>
            <w:r>
              <w:rPr>
                <w:rFonts w:ascii="Arial" w:eastAsia="Arial" w:hAnsi="Arial" w:cs="Arial"/>
                <w:sz w:val="20"/>
                <w:szCs w:val="20"/>
              </w:rPr>
              <w:t>contratações de acordo com as normas vigentes e os órgãos de controle.</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R$ 10.000,00 </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R$ 60.000,00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Cloud Essentials+ EaD (parceria oficial CompTIA)</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Dominar conceitos básicos de nuvem para subsidiar a </w:t>
            </w:r>
            <w:r>
              <w:rPr>
                <w:rFonts w:ascii="Arial" w:eastAsia="Arial" w:hAnsi="Arial" w:cs="Arial"/>
                <w:sz w:val="20"/>
                <w:szCs w:val="20"/>
              </w:rPr>
              <w:t>elaboração de plano de migração e confecção de edital de contratação com as melhores práticas.</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R$ 2.000,00</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CompTIA Security+ (Bundle completo para autoestudo – versão SY0-601)</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Dominar conceitos básicos de segurança para implementar PSI e traçar plano de execução da </w:t>
            </w:r>
            <w:r>
              <w:rPr>
                <w:rFonts w:ascii="Arial" w:eastAsia="Arial" w:hAnsi="Arial" w:cs="Arial"/>
                <w:sz w:val="20"/>
                <w:szCs w:val="20"/>
              </w:rPr>
              <w:lastRenderedPageBreak/>
              <w:t>Resolução 396/2021 do CNJ, bem como fomentar a maturidade de gestão de segurança da informação neste TJAC.</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R$ 5.200,00</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R$ 52.000,00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Correlacionamento de eventos com Graylog</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Reestruturar sistema de coleta de eventos, bem como aplicar buscar inteligentes e relatorios dinamicos.</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R$ 2.000,00</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Fundamentos de Segurança da Informação EaD (parceria oficial Ascend)</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Básico de segurança da informação a nível negocial.</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R$ 2.000,00</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Tratamento de Incidentes de Segurança</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Capacitar a Equipe de Tratamento e Resposta a Incidentes (ETIR) para implementar as técnicas de resposta a incidentes de maneira eficiente e segura.</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R$ 960,00</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R$ 4.800,00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Protocolo BGP na Administração de AS</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Preparar a equipe para implmentar protocolo BGP e </w:t>
            </w:r>
            <w:r>
              <w:rPr>
                <w:rFonts w:ascii="Arial" w:eastAsia="Arial" w:hAnsi="Arial" w:cs="Arial"/>
                <w:sz w:val="20"/>
                <w:szCs w:val="20"/>
              </w:rPr>
              <w:lastRenderedPageBreak/>
              <w:t>administração de ASN.</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R$ 2.200,00</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R$ 11.000,00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Implantação de Rede IPv6</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Base para implementação do protocolo BGP e futura implementação de ASN.</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R$ 960,00</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R$ 4.800,00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CySA+ EaD (parceria oficial CompTIA)</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Dominar conceitos intermediários e avançados de segurança para implementar PSI e traçar plano de execução da Resolução 396/2021 do CNJ, bem como fomentar a maturidade de gestão de segurança da informação neste TJAC.</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R$ 4.500,00</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R$ 22</w:t>
            </w:r>
            <w:r>
              <w:rPr>
                <w:rFonts w:ascii="Arial" w:eastAsia="Arial" w:hAnsi="Arial" w:cs="Arial"/>
                <w:sz w:val="20"/>
                <w:szCs w:val="20"/>
              </w:rPr>
              <w:t>.500,00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PenTest + EaD ( parceria oficial CompTIA)</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Realizar testes de invasão controlados com objetivo de detectar vulnerabilidades de aplicações e sistemas, com vistas a corrigi-las, fomentando a segurança.</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R$ 4.500,00</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R$ 22.500,00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lastRenderedPageBreak/>
              <w:t>Oficial EXIN PDPE – Privacy &amp; Data Protection Essentials EAD (parceria oficial EXIN)</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 membros do comite de LGPD e segurança.</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Conceitos básicos de proteção de dados, baseados na GP</w:t>
            </w:r>
            <w:r>
              <w:rPr>
                <w:rFonts w:ascii="Arial" w:eastAsia="Arial" w:hAnsi="Arial" w:cs="Arial"/>
                <w:sz w:val="20"/>
                <w:szCs w:val="20"/>
              </w:rPr>
              <w:t>DR e LGPD.</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R$ 1.720,00</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R$ 10.320,00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br/>
              <w:t>Oficial EXIN PDPF – Privacy &amp; Data Protection Foudation EAD (parceria oficial EXIN)</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 membros do comite de LGPD e segurança.</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Conceitos intermediários de proteção de dados, baseados na GPDR e LGPD.</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R$ 1.720,00</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R$ 10.320,00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Oficial EXIN PDPP – Privacy and Data Protection Practitioner EAD (parceria oficial EXIN)</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 membros do comite de LGPD e segurança.</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Conceitos avançados de proteção de dados, baseados na GPDR e LGPD.</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R$ 1.720,00</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R$ 10.320,00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Oficial EXIN ISFS – Information Security Foundation ISO/IEC 27001 E</w:t>
            </w:r>
            <w:r>
              <w:rPr>
                <w:rFonts w:ascii="Arial" w:eastAsia="Arial" w:hAnsi="Arial" w:cs="Arial"/>
                <w:sz w:val="20"/>
                <w:szCs w:val="20"/>
              </w:rPr>
              <w:t>AD (parceria oficial EXIN)</w:t>
            </w:r>
          </w:p>
        </w:tc>
        <w:tc>
          <w:tcPr>
            <w:tcW w:w="1251"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 membros do comite de LGPD e segurança.</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Conceitos básicos de segurança da informação baseado na ISO 27001.</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R$ 1.720,00</w:t>
            </w:r>
          </w:p>
        </w:tc>
        <w:tc>
          <w:tcPr>
            <w:tcW w:w="1282"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R$ 10.320,00</w:t>
            </w:r>
          </w:p>
        </w:tc>
      </w:tr>
      <w:tr w:rsidR="004E4AF8" w:rsidTr="004E4AF8">
        <w:trPr>
          <w:trHeight w:val="300"/>
        </w:trPr>
        <w:tc>
          <w:tcPr>
            <w:cnfStyle w:val="001000000000" w:firstRow="0" w:lastRow="0" w:firstColumn="1" w:lastColumn="0" w:oddVBand="0" w:evenVBand="0" w:oddHBand="0" w:evenHBand="0" w:firstRowFirstColumn="0" w:firstRowLastColumn="0" w:lastRowFirstColumn="0" w:lastRowLastColumn="0"/>
            <w:tcW w:w="2107" w:type="dxa"/>
          </w:tcPr>
          <w:p w:rsidR="004E4AF8" w:rsidRDefault="00D62302">
            <w:pPr>
              <w:jc w:val="center"/>
              <w:rPr>
                <w:rFonts w:ascii="Arial" w:eastAsia="Arial" w:hAnsi="Arial" w:cs="Arial"/>
                <w:sz w:val="20"/>
                <w:szCs w:val="20"/>
              </w:rPr>
            </w:pPr>
            <w:r>
              <w:rPr>
                <w:rFonts w:ascii="Arial" w:eastAsia="Arial" w:hAnsi="Arial" w:cs="Arial"/>
                <w:sz w:val="20"/>
                <w:szCs w:val="20"/>
              </w:rPr>
              <w:t>Network+ EAD (parceria oficial CompTIA)</w:t>
            </w:r>
          </w:p>
        </w:tc>
        <w:tc>
          <w:tcPr>
            <w:tcW w:w="1251"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 GESEG</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89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84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Treinamento complementar sobre soluções de rede e infraestrutura</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1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282"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R$ 3.700,00</w:t>
            </w:r>
          </w:p>
        </w:tc>
        <w:tc>
          <w:tcPr>
            <w:tcW w:w="1282" w:type="dxa"/>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R$ 29.600,00</w:t>
            </w:r>
          </w:p>
        </w:tc>
      </w:tr>
    </w:tbl>
    <w:p w:rsidR="004E4AF8" w:rsidRDefault="00D62302">
      <w:pPr>
        <w:pStyle w:val="Ttulo5"/>
        <w:spacing w:before="0" w:after="200" w:line="240" w:lineRule="auto"/>
      </w:pPr>
      <w:bookmarkStart w:id="16" w:name="_heading=h.35nkun2" w:colFirst="0" w:colLast="0"/>
      <w:bookmarkEnd w:id="16"/>
      <w:r>
        <w:rPr>
          <w:i/>
        </w:rPr>
        <w:lastRenderedPageBreak/>
        <w:t xml:space="preserve">Tabela 4 - </w:t>
      </w:r>
      <w:r>
        <w:t>Ações de Capacitação/Gerência de Segurança da Informação</w:t>
      </w:r>
    </w:p>
    <w:p w:rsidR="004E4AF8" w:rsidRDefault="00D62302">
      <w:pPr>
        <w:pStyle w:val="Ttulo3"/>
        <w:numPr>
          <w:ilvl w:val="2"/>
          <w:numId w:val="5"/>
        </w:numPr>
      </w:pPr>
      <w:bookmarkStart w:id="17" w:name="_heading=h.1ksv4uv" w:colFirst="0" w:colLast="0"/>
      <w:bookmarkEnd w:id="17"/>
      <w:r>
        <w:t>Gerência de Sistemas</w:t>
      </w:r>
    </w:p>
    <w:tbl>
      <w:tblPr>
        <w:tblStyle w:val="afffffffffffffff6"/>
        <w:tblW w:w="145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743"/>
        <w:gridCol w:w="1185"/>
        <w:gridCol w:w="1609"/>
        <w:gridCol w:w="1547"/>
        <w:gridCol w:w="1995"/>
        <w:gridCol w:w="2799"/>
        <w:gridCol w:w="1457"/>
        <w:gridCol w:w="1225"/>
      </w:tblGrid>
      <w:tr w:rsidR="004E4AF8" w:rsidTr="004E4AF8">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743" w:type="dxa"/>
            <w:vAlign w:val="center"/>
          </w:tcPr>
          <w:p w:rsidR="004E4AF8" w:rsidRDefault="00D62302">
            <w:pPr>
              <w:jc w:val="center"/>
              <w:rPr>
                <w:rFonts w:ascii="Arial" w:eastAsia="Arial" w:hAnsi="Arial" w:cs="Arial"/>
                <w:sz w:val="20"/>
                <w:szCs w:val="20"/>
              </w:rPr>
            </w:pPr>
            <w:r>
              <w:rPr>
                <w:rFonts w:ascii="Arial" w:eastAsia="Arial" w:hAnsi="Arial" w:cs="Arial"/>
                <w:sz w:val="20"/>
                <w:szCs w:val="20"/>
              </w:rPr>
              <w:t>Nome do Curso</w:t>
            </w:r>
          </w:p>
        </w:tc>
        <w:tc>
          <w:tcPr>
            <w:tcW w:w="118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Público Alvo</w:t>
            </w:r>
          </w:p>
        </w:tc>
        <w:tc>
          <w:tcPr>
            <w:tcW w:w="1609"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Arial" w:eastAsia="Arial" w:hAnsi="Arial" w:cs="Arial"/>
                <w:sz w:val="22"/>
                <w:szCs w:val="22"/>
              </w:rPr>
              <w:t>Participante</w:t>
            </w:r>
            <w:r>
              <w:rPr>
                <w:rFonts w:ascii="Arial" w:eastAsia="Arial" w:hAnsi="Arial" w:cs="Arial"/>
              </w:rPr>
              <w:t>s</w:t>
            </w:r>
          </w:p>
        </w:tc>
        <w:tc>
          <w:tcPr>
            <w:tcW w:w="1547"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Modalidade</w:t>
            </w:r>
          </w:p>
        </w:tc>
        <w:tc>
          <w:tcPr>
            <w:tcW w:w="199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Turno</w:t>
            </w:r>
          </w:p>
        </w:tc>
        <w:tc>
          <w:tcPr>
            <w:tcW w:w="2799"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Resultados Esperados</w:t>
            </w:r>
          </w:p>
        </w:tc>
        <w:tc>
          <w:tcPr>
            <w:tcW w:w="1457"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Criticidade</w:t>
            </w:r>
          </w:p>
        </w:tc>
        <w:tc>
          <w:tcPr>
            <w:tcW w:w="122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Custo Previsto</w:t>
            </w:r>
          </w:p>
        </w:tc>
      </w:tr>
      <w:tr w:rsidR="004E4AF8" w:rsidTr="004E4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r>
              <w:rPr>
                <w:rFonts w:ascii="Arial" w:eastAsia="Arial" w:hAnsi="Arial" w:cs="Arial"/>
                <w:sz w:val="20"/>
                <w:szCs w:val="20"/>
              </w:rPr>
              <w:t>Lei Geral de Proteção de Dados (LGPD)</w:t>
            </w:r>
            <w:r>
              <w:rPr>
                <w:rFonts w:ascii="Arial" w:eastAsia="Arial" w:hAnsi="Arial" w:cs="Arial"/>
                <w:sz w:val="20"/>
                <w:szCs w:val="20"/>
              </w:rPr>
              <w:br/>
              <w:t>- Conhecendo e entendendo seus impactos</w:t>
            </w:r>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GESIS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Vespertino</w:t>
            </w:r>
          </w:p>
        </w:tc>
        <w:tc>
          <w:tcPr>
            <w:tcW w:w="2799"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Entender o que é a Lei Geral de Proteção de Dados (LGPD) e co</w:t>
            </w:r>
            <w:r>
              <w:rPr>
                <w:rFonts w:ascii="Arial" w:eastAsia="Arial" w:hAnsi="Arial" w:cs="Arial"/>
                <w:sz w:val="20"/>
                <w:szCs w:val="20"/>
              </w:rPr>
              <w:t>mo ela impactará nas relações digitais das pessoas e empresas.</w:t>
            </w: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300"/>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r>
              <w:rPr>
                <w:rFonts w:ascii="Arial" w:eastAsia="Arial" w:hAnsi="Arial" w:cs="Arial"/>
                <w:sz w:val="20"/>
                <w:szCs w:val="20"/>
              </w:rPr>
              <w:t>Wildfly – Administração com Cluster de Alta Performance em ambiente DevOps</w:t>
            </w:r>
          </w:p>
        </w:tc>
        <w:tc>
          <w:tcPr>
            <w:tcW w:w="118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Presencial ou 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Vespertino</w:t>
            </w:r>
          </w:p>
        </w:tc>
        <w:tc>
          <w:tcPr>
            <w:tcW w:w="2799"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Construir ambientes de desenvolvimento, homologação e produção baseados no Wildfly, otimizados para segurança, desempenho, gerenciabilidade e produtividade.</w:t>
            </w:r>
          </w:p>
        </w:tc>
        <w:tc>
          <w:tcPr>
            <w:tcW w:w="1457" w:type="dxa"/>
            <w:shd w:val="clear" w:color="auto" w:fill="FF00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r>
              <w:rPr>
                <w:rFonts w:ascii="Arial" w:eastAsia="Arial" w:hAnsi="Arial" w:cs="Arial"/>
                <w:sz w:val="20"/>
                <w:szCs w:val="20"/>
              </w:rPr>
              <w:t>Segurança de aplicações web</w:t>
            </w:r>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Vespertino</w:t>
            </w:r>
          </w:p>
        </w:tc>
        <w:tc>
          <w:tcPr>
            <w:tcW w:w="2799"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Entender como se defender de ataques, validar arquivos passados pelo usuário, desenvolver ambientes de teste de vulnerabilidade e entender como lidar de forma mais segura com as senhas.</w:t>
            </w: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300"/>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r>
              <w:rPr>
                <w:rFonts w:ascii="Arial" w:eastAsia="Arial" w:hAnsi="Arial" w:cs="Arial"/>
                <w:sz w:val="20"/>
                <w:szCs w:val="20"/>
              </w:rPr>
              <w:t>Plataforma de cursos alura</w:t>
            </w:r>
          </w:p>
        </w:tc>
        <w:tc>
          <w:tcPr>
            <w:tcW w:w="118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25</w:t>
            </w: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Plataforma de cursos de diversas áreas de desenvolvimento,</w:t>
            </w:r>
            <w:r>
              <w:rPr>
                <w:rFonts w:ascii="Arial" w:eastAsia="Arial" w:hAnsi="Arial" w:cs="Arial"/>
                <w:sz w:val="20"/>
                <w:szCs w:val="20"/>
              </w:rPr>
              <w:br/>
              <w:t>infraestrutura e segurança da informação</w:t>
            </w:r>
          </w:p>
        </w:tc>
        <w:tc>
          <w:tcPr>
            <w:tcW w:w="1457" w:type="dxa"/>
            <w:shd w:val="clear" w:color="auto" w:fill="FF00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r>
              <w:rPr>
                <w:rFonts w:ascii="Arial" w:eastAsia="Arial" w:hAnsi="Arial" w:cs="Arial"/>
                <w:sz w:val="20"/>
                <w:szCs w:val="20"/>
              </w:rPr>
              <w:t>Analista de Negócios de TI</w:t>
            </w:r>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Presencial ou 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Vespertino</w:t>
            </w:r>
          </w:p>
        </w:tc>
        <w:tc>
          <w:tcPr>
            <w:tcW w:w="2799"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Capacitar a equipe em prospecção, planejamento e </w:t>
            </w:r>
            <w:r>
              <w:rPr>
                <w:rFonts w:ascii="Arial" w:eastAsia="Arial" w:hAnsi="Arial" w:cs="Arial"/>
                <w:sz w:val="20"/>
                <w:szCs w:val="20"/>
              </w:rPr>
              <w:lastRenderedPageBreak/>
              <w:t>gerencia</w:t>
            </w:r>
            <w:r>
              <w:rPr>
                <w:rFonts w:ascii="Arial" w:eastAsia="Arial" w:hAnsi="Arial" w:cs="Arial"/>
                <w:sz w:val="20"/>
                <w:szCs w:val="20"/>
              </w:rPr>
              <w:t>mento de implementação de projetos de sistemas de informação e aplicativos, visando satisfazer as expectativas e necessidades tecnológicas.</w:t>
            </w: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300"/>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r>
              <w:rPr>
                <w:rFonts w:ascii="Arial" w:eastAsia="Arial" w:hAnsi="Arial" w:cs="Arial"/>
                <w:sz w:val="20"/>
                <w:szCs w:val="20"/>
              </w:rPr>
              <w:t>Automação de Processos de Negócios (BPA) e Automação de Processos de TI (ITPA)</w:t>
            </w:r>
          </w:p>
        </w:tc>
        <w:tc>
          <w:tcPr>
            <w:tcW w:w="118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Presencial ou 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Vespertino</w:t>
            </w:r>
          </w:p>
        </w:tc>
        <w:tc>
          <w:tcPr>
            <w:tcW w:w="2799"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Mapeamento de processos, análise de fluxo de trabalho, identificação de oportunidades de automação e implementação de soluções.</w:t>
            </w:r>
          </w:p>
        </w:tc>
        <w:tc>
          <w:tcPr>
            <w:tcW w:w="1457" w:type="dxa"/>
            <w:shd w:val="clear" w:color="auto" w:fill="FF00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r>
              <w:rPr>
                <w:rFonts w:ascii="Arial" w:eastAsia="Arial" w:hAnsi="Arial" w:cs="Arial"/>
                <w:sz w:val="20"/>
                <w:szCs w:val="20"/>
              </w:rPr>
              <w:t>RESOLUÇÃO CNJ N° 468/2022 -</w:t>
            </w:r>
            <w:r>
              <w:rPr>
                <w:rFonts w:ascii="Arial" w:eastAsia="Arial" w:hAnsi="Arial" w:cs="Arial"/>
                <w:sz w:val="20"/>
                <w:szCs w:val="20"/>
              </w:rPr>
              <w:br/>
              <w:t>Contratações de bens e serviços de Solução de Tecn</w:t>
            </w:r>
            <w:r>
              <w:rPr>
                <w:rFonts w:ascii="Arial" w:eastAsia="Arial" w:hAnsi="Arial" w:cs="Arial"/>
                <w:sz w:val="20"/>
                <w:szCs w:val="20"/>
              </w:rPr>
              <w:t>ologia da Informação e Comunicação (STIC) realizadas pelos órgãos submetidos ao controle administrativo e financeiro do CNJ com base na Lei n° 14.133/2021</w:t>
            </w:r>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15</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Presencial ou 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Vespertino</w:t>
            </w:r>
          </w:p>
        </w:tc>
        <w:tc>
          <w:tcPr>
            <w:tcW w:w="2799"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Capacitar os agentes públicos das áreas envolvidas nas contratações, acerca dos temas e das disciplinas contidas na referida Resolução.</w:t>
            </w: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300"/>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r>
              <w:rPr>
                <w:rFonts w:ascii="Arial" w:eastAsia="Arial" w:hAnsi="Arial" w:cs="Arial"/>
                <w:sz w:val="20"/>
                <w:szCs w:val="20"/>
              </w:rPr>
              <w:t>Organização de Equipes Ágeis: os papéis existentes em uma equipe</w:t>
            </w:r>
          </w:p>
        </w:tc>
        <w:tc>
          <w:tcPr>
            <w:tcW w:w="118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Vespertino</w:t>
            </w:r>
          </w:p>
        </w:tc>
        <w:tc>
          <w:tcPr>
            <w:tcW w:w="2799" w:type="dxa"/>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457" w:type="dxa"/>
            <w:shd w:val="clear" w:color="auto" w:fill="FF00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r>
              <w:rPr>
                <w:rFonts w:ascii="Arial" w:eastAsia="Arial" w:hAnsi="Arial" w:cs="Arial"/>
                <w:sz w:val="20"/>
                <w:szCs w:val="20"/>
              </w:rPr>
              <w:t>Talend Integration - ETL e Integração de Dados</w:t>
            </w:r>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Matutino/Vespertino</w:t>
            </w:r>
          </w:p>
        </w:tc>
        <w:tc>
          <w:tcPr>
            <w:tcW w:w="2799" w:type="dxa"/>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300"/>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r>
              <w:rPr>
                <w:rFonts w:ascii="Arial" w:eastAsia="Arial" w:hAnsi="Arial" w:cs="Arial"/>
                <w:sz w:val="20"/>
                <w:szCs w:val="20"/>
              </w:rPr>
              <w:t>SQL para DATA Analysys e BI</w:t>
            </w:r>
          </w:p>
        </w:tc>
        <w:tc>
          <w:tcPr>
            <w:tcW w:w="118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Matutino/Vespertino</w:t>
            </w:r>
          </w:p>
        </w:tc>
        <w:tc>
          <w:tcPr>
            <w:tcW w:w="2799" w:type="dxa"/>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457" w:type="dxa"/>
            <w:shd w:val="clear" w:color="auto" w:fill="FF00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r>
              <w:rPr>
                <w:rFonts w:ascii="Arial" w:eastAsia="Arial" w:hAnsi="Arial" w:cs="Arial"/>
                <w:sz w:val="20"/>
                <w:szCs w:val="20"/>
              </w:rPr>
              <w:t>Modelagem e Construção DATA WAREHOUSE com ETLs</w:t>
            </w:r>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Matutino/Vespertino</w:t>
            </w:r>
          </w:p>
        </w:tc>
        <w:tc>
          <w:tcPr>
            <w:tcW w:w="2799" w:type="dxa"/>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300"/>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r>
              <w:rPr>
                <w:rFonts w:ascii="Arial" w:eastAsia="Arial" w:hAnsi="Arial" w:cs="Arial"/>
                <w:sz w:val="20"/>
                <w:szCs w:val="20"/>
              </w:rPr>
              <w:t>Databricks : Analise e modelagem de dados</w:t>
            </w:r>
          </w:p>
        </w:tc>
        <w:tc>
          <w:tcPr>
            <w:tcW w:w="118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Matutino/Vespertino</w:t>
            </w:r>
          </w:p>
        </w:tc>
        <w:tc>
          <w:tcPr>
            <w:tcW w:w="2799" w:type="dxa"/>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457" w:type="dxa"/>
            <w:shd w:val="clear" w:color="auto" w:fill="FF00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r>
              <w:rPr>
                <w:rFonts w:ascii="Arial" w:eastAsia="Arial" w:hAnsi="Arial" w:cs="Arial"/>
                <w:sz w:val="20"/>
                <w:szCs w:val="20"/>
              </w:rPr>
              <w:lastRenderedPageBreak/>
              <w:t>Modelagem e Construção DATA WAREHOUSE com ETLs</w:t>
            </w:r>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Matutino/Vespertino</w:t>
            </w:r>
          </w:p>
        </w:tc>
        <w:tc>
          <w:tcPr>
            <w:tcW w:w="2799" w:type="dxa"/>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14560" w:type="dxa"/>
            <w:gridSpan w:val="8"/>
            <w:vAlign w:val="center"/>
          </w:tcPr>
          <w:p w:rsidR="004E4AF8" w:rsidRDefault="00D62302">
            <w:pPr>
              <w:jc w:val="center"/>
              <w:rPr>
                <w:rFonts w:ascii="Arial" w:eastAsia="Arial" w:hAnsi="Arial" w:cs="Arial"/>
                <w:sz w:val="20"/>
                <w:szCs w:val="20"/>
              </w:rPr>
            </w:pPr>
            <w:r>
              <w:rPr>
                <w:rFonts w:ascii="Arial" w:eastAsia="Arial" w:hAnsi="Arial" w:cs="Arial"/>
                <w:sz w:val="20"/>
                <w:szCs w:val="20"/>
              </w:rPr>
              <w:t>Cursos Previstos dentro da Plataforma ALURA:</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19">
              <w:r>
                <w:t>Curso de Git e GitHub: compartilhando e colaborando em projetos</w:t>
              </w:r>
            </w:hyperlink>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Aprender a compartilhar código e projetos</w:t>
            </w:r>
            <w:r>
              <w:rPr>
                <w:rFonts w:ascii="Arial" w:eastAsia="Arial" w:hAnsi="Arial" w:cs="Arial"/>
                <w:sz w:val="20"/>
                <w:szCs w:val="20"/>
              </w:rPr>
              <w:br/>
              <w:t>- Entender sobre comom colaborar em projetos</w:t>
            </w:r>
            <w:r>
              <w:rPr>
                <w:rFonts w:ascii="Arial" w:eastAsia="Arial" w:hAnsi="Arial" w:cs="Arial"/>
                <w:sz w:val="20"/>
                <w:szCs w:val="20"/>
              </w:rPr>
              <w:br/>
              <w:t>- Raelizar o versionamento de um projeto</w:t>
            </w:r>
            <w:r>
              <w:rPr>
                <w:rFonts w:ascii="Arial" w:eastAsia="Arial" w:hAnsi="Arial" w:cs="Arial"/>
                <w:sz w:val="20"/>
                <w:szCs w:val="20"/>
              </w:rPr>
              <w:br/>
            </w:r>
            <w:r>
              <w:rPr>
                <w:rFonts w:ascii="Arial" w:eastAsia="Arial" w:hAnsi="Arial" w:cs="Arial"/>
                <w:sz w:val="20"/>
                <w:szCs w:val="20"/>
              </w:rPr>
              <w:t>- Lidar com conflitos em códigos utilizando git</w:t>
            </w:r>
            <w:r>
              <w:rPr>
                <w:rFonts w:ascii="Arial" w:eastAsia="Arial" w:hAnsi="Arial" w:cs="Arial"/>
                <w:sz w:val="20"/>
                <w:szCs w:val="20"/>
              </w:rPr>
              <w:br/>
              <w:t>- Analisar e modificar histórico de commits de um repositório git</w:t>
            </w:r>
          </w:p>
        </w:tc>
        <w:tc>
          <w:tcPr>
            <w:tcW w:w="1457" w:type="dxa"/>
            <w:shd w:val="clear" w:color="auto" w:fill="FFFF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Média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20">
              <w:r>
                <w:t>Python para Data Science</w:t>
              </w:r>
            </w:hyperlink>
          </w:p>
        </w:tc>
        <w:tc>
          <w:tcPr>
            <w:tcW w:w="118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Analisar e manipular dados como parte de suas tarefas de automação.</w:t>
            </w:r>
          </w:p>
        </w:tc>
        <w:tc>
          <w:tcPr>
            <w:tcW w:w="1457" w:type="dxa"/>
            <w:shd w:val="clear" w:color="auto" w:fill="FF00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21">
              <w:r>
                <w:t>Formação Python e orientação a objetos</w:t>
              </w:r>
            </w:hyperlink>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Ajudar os profission</w:t>
            </w:r>
            <w:r>
              <w:rPr>
                <w:rFonts w:ascii="Arial" w:eastAsia="Arial" w:hAnsi="Arial" w:cs="Arial"/>
                <w:sz w:val="20"/>
                <w:szCs w:val="20"/>
              </w:rPr>
              <w:t>ais a criar bots eficientes e escaláveis para automatizar tarefas em diversas áreas de negócios.</w:t>
            </w: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22">
              <w:r>
                <w:t>Visão Computacional: reconhecimento de texto com OCR e OpenCV</w:t>
              </w:r>
            </w:hyperlink>
          </w:p>
        </w:tc>
        <w:tc>
          <w:tcPr>
            <w:tcW w:w="118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Utilizar técnicas e ferramentas de visão computacional para melhorar as capacidades de automação de processos robóticos.</w:t>
            </w:r>
          </w:p>
        </w:tc>
        <w:tc>
          <w:tcPr>
            <w:tcW w:w="1457" w:type="dxa"/>
            <w:shd w:val="clear" w:color="auto" w:fill="FF00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23">
              <w:r>
                <w:t>RPA: automatize processos com ferramentas No/Low Code</w:t>
              </w:r>
            </w:hyperlink>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Fornecer uma base sólida para entender o campo de RPA.</w:t>
            </w: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24">
              <w:r>
                <w:t>Modelagem e Melhorias de Processos de Negócios</w:t>
              </w:r>
            </w:hyperlink>
          </w:p>
        </w:tc>
        <w:tc>
          <w:tcPr>
            <w:tcW w:w="118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457" w:type="dxa"/>
            <w:shd w:val="clear" w:color="auto" w:fill="FFFF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Média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25">
              <w:r>
                <w:t>Formação Primeiros passos com Engenharia de Dados</w:t>
              </w:r>
            </w:hyperlink>
          </w:p>
        </w:tc>
        <w:tc>
          <w:tcPr>
            <w:tcW w:w="1185" w:type="dxa"/>
          </w:tcPr>
          <w:p w:rsidR="004E4AF8" w:rsidRDefault="004E4AF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1155CC"/>
                <w:sz w:val="20"/>
                <w:szCs w:val="20"/>
                <w:u w:val="single"/>
              </w:rPr>
            </w:pPr>
          </w:p>
        </w:tc>
        <w:tc>
          <w:tcPr>
            <w:tcW w:w="1609" w:type="dxa"/>
          </w:tcPr>
          <w:p w:rsidR="004E4AF8" w:rsidRDefault="004E4AF8">
            <w:pPr>
              <w:cnfStyle w:val="000000100000" w:firstRow="0" w:lastRow="0" w:firstColumn="0" w:lastColumn="0" w:oddVBand="0" w:evenVBand="0" w:oddHBand="1" w:evenHBand="0" w:firstRowFirstColumn="0" w:firstRowLastColumn="0" w:lastRowFirstColumn="0" w:lastRowLastColumn="0"/>
              <w:rPr>
                <w:sz w:val="20"/>
                <w:szCs w:val="20"/>
              </w:rPr>
            </w:pP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457" w:type="dxa"/>
            <w:shd w:val="clear" w:color="auto" w:fill="FFFF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Média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26">
              <w:r>
                <w:t>Formação MongoDB</w:t>
              </w:r>
            </w:hyperlink>
          </w:p>
        </w:tc>
        <w:tc>
          <w:tcPr>
            <w:tcW w:w="1185" w:type="dxa"/>
          </w:tcPr>
          <w:p w:rsidR="004E4AF8" w:rsidRDefault="004E4AF8">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1155CC"/>
                <w:sz w:val="20"/>
                <w:szCs w:val="20"/>
                <w:u w:val="single"/>
              </w:rPr>
            </w:pPr>
          </w:p>
        </w:tc>
        <w:tc>
          <w:tcPr>
            <w:tcW w:w="1609"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457" w:type="dxa"/>
            <w:shd w:val="clear" w:color="auto" w:fill="FFFF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eastAsia="Arial" w:hAnsi="Arial" w:cs="Arial"/>
                <w:sz w:val="20"/>
                <w:szCs w:val="20"/>
              </w:rPr>
              <w:t>Média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27">
              <w:r>
                <w:t>Gestão Ágil de Projetos</w:t>
              </w:r>
            </w:hyperlink>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16</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Aprenda como utilizar ferramentas, recursos e metodologias ágeis que podem te auxiliar a gerenciar projetos, pessoas e equipes de forma mais eficiente</w:t>
            </w: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28">
              <w:r>
                <w:t>Carreira QA: processos e automação de testes</w:t>
              </w:r>
            </w:hyperlink>
          </w:p>
        </w:tc>
        <w:tc>
          <w:tcPr>
            <w:tcW w:w="118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Crie um plano de teste, documento de planejamento de teste de software</w:t>
            </w:r>
            <w:r>
              <w:rPr>
                <w:rFonts w:ascii="Arial" w:eastAsia="Arial" w:hAnsi="Arial" w:cs="Arial"/>
                <w:sz w:val="20"/>
                <w:szCs w:val="20"/>
              </w:rPr>
              <w:br/>
              <w:t>- Aprenda o que são testes, como modelá-los e executá-los</w:t>
            </w:r>
            <w:r>
              <w:rPr>
                <w:rFonts w:ascii="Arial" w:eastAsia="Arial" w:hAnsi="Arial" w:cs="Arial"/>
                <w:sz w:val="20"/>
                <w:szCs w:val="20"/>
              </w:rPr>
              <w:br/>
              <w:t>- Saiba encontrar e reportar defeitos em sistemas</w:t>
            </w:r>
            <w:r>
              <w:rPr>
                <w:rFonts w:ascii="Arial" w:eastAsia="Arial" w:hAnsi="Arial" w:cs="Arial"/>
                <w:sz w:val="20"/>
                <w:szCs w:val="20"/>
              </w:rPr>
              <w:br/>
              <w:t>- Des</w:t>
            </w:r>
            <w:r>
              <w:rPr>
                <w:rFonts w:ascii="Arial" w:eastAsia="Arial" w:hAnsi="Arial" w:cs="Arial"/>
                <w:sz w:val="20"/>
                <w:szCs w:val="20"/>
              </w:rPr>
              <w:t>cubra o papel do profissional de qualidade de software em um time de desenvolvimento</w:t>
            </w:r>
            <w:r>
              <w:rPr>
                <w:rFonts w:ascii="Arial" w:eastAsia="Arial" w:hAnsi="Arial" w:cs="Arial"/>
                <w:sz w:val="20"/>
                <w:szCs w:val="20"/>
              </w:rPr>
              <w:br/>
              <w:t>- Entenda o que são cenários e casos de teste</w:t>
            </w:r>
            <w:r>
              <w:rPr>
                <w:rFonts w:ascii="Arial" w:eastAsia="Arial" w:hAnsi="Arial" w:cs="Arial"/>
                <w:sz w:val="20"/>
                <w:szCs w:val="20"/>
              </w:rPr>
              <w:br/>
              <w:t>- Aprenda como metrificar a qualidade do seu software</w:t>
            </w:r>
          </w:p>
        </w:tc>
        <w:tc>
          <w:tcPr>
            <w:tcW w:w="1457" w:type="dxa"/>
            <w:shd w:val="clear" w:color="auto" w:fill="FFFF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Média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29">
              <w:r>
                <w:t>Formação Java e Spring Boot</w:t>
              </w:r>
            </w:hyperlink>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Construir aplicativos Java modernos e escaláveis usando o Spring Boot como framework de </w:t>
            </w:r>
            <w:r>
              <w:rPr>
                <w:rFonts w:ascii="Arial" w:eastAsia="Arial" w:hAnsi="Arial" w:cs="Arial"/>
                <w:sz w:val="20"/>
                <w:szCs w:val="20"/>
              </w:rPr>
              <w:lastRenderedPageBreak/>
              <w:t>desenvolvimento. É amplamente utilizado na indús</w:t>
            </w:r>
            <w:r>
              <w:rPr>
                <w:rFonts w:ascii="Arial" w:eastAsia="Arial" w:hAnsi="Arial" w:cs="Arial"/>
                <w:sz w:val="20"/>
                <w:szCs w:val="20"/>
              </w:rPr>
              <w:t>tria de desenvolvimento devido à sua facilidade de uso, produtividade e suporte a melhores práticas.</w:t>
            </w: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30">
              <w:r>
                <w:t>Java Web: crie aplicações usando Spring Boot</w:t>
              </w:r>
            </w:hyperlink>
          </w:p>
        </w:tc>
        <w:tc>
          <w:tcPr>
            <w:tcW w:w="1185" w:type="dxa"/>
          </w:tcPr>
          <w:p w:rsidR="004E4AF8" w:rsidRDefault="004E4AF8">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1155CC"/>
                <w:sz w:val="20"/>
                <w:szCs w:val="20"/>
                <w:u w:val="single"/>
              </w:rPr>
            </w:pPr>
          </w:p>
        </w:tc>
        <w:tc>
          <w:tcPr>
            <w:tcW w:w="1609"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1547"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199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2799" w:type="dxa"/>
          </w:tcPr>
          <w:p w:rsidR="004E4AF8" w:rsidRDefault="00D6230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Aprender tudo o que precisa para criar uma aplicação Web com Spring Boot. Você aprenderá a utilizar o Maven para configurar e gerenciar o projeto, desenvolver controladores usando o Spring MVC, persistir dados em um banco de dados PostgreSQL usando JPA, fo</w:t>
            </w:r>
            <w:r>
              <w:rPr>
                <w:rFonts w:ascii="Arial" w:eastAsia="Arial" w:hAnsi="Arial" w:cs="Arial"/>
                <w:sz w:val="20"/>
                <w:szCs w:val="20"/>
              </w:rPr>
              <w:t>rnecer uma API REST para ser comsumida por um projeto front-end, implementando as operações de CRUD (criar, ler, atualizar, excluir) na aplicação.</w:t>
            </w:r>
          </w:p>
        </w:tc>
        <w:tc>
          <w:tcPr>
            <w:tcW w:w="1457" w:type="dxa"/>
            <w:shd w:val="clear" w:color="auto" w:fill="FFFF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Média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31">
              <w:r>
                <w:t>Aprenda a programar em PHP</w:t>
              </w:r>
            </w:hyperlink>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Aprender os fundamentos da linguagem juntamente com as boas práticas utilizadas no mercado.</w:t>
            </w: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32">
              <w:r>
                <w:t xml:space="preserve">Boas práticas em PHP: </w:t>
              </w:r>
            </w:hyperlink>
          </w:p>
        </w:tc>
        <w:tc>
          <w:tcPr>
            <w:tcW w:w="1185" w:type="dxa"/>
          </w:tcPr>
          <w:p w:rsidR="004E4AF8" w:rsidRDefault="004E4AF8">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1155CC"/>
                <w:sz w:val="20"/>
                <w:szCs w:val="20"/>
                <w:u w:val="single"/>
              </w:rPr>
            </w:pPr>
          </w:p>
        </w:tc>
        <w:tc>
          <w:tcPr>
            <w:tcW w:w="1609"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1547"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199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2799" w:type="dxa"/>
          </w:tcPr>
          <w:p w:rsidR="004E4AF8" w:rsidRDefault="00D6230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Aprender SOLID, Object Calisthenics, refatoração e depuração no ecossistema PHP.</w:t>
            </w:r>
          </w:p>
        </w:tc>
        <w:tc>
          <w:tcPr>
            <w:tcW w:w="1457" w:type="dxa"/>
            <w:shd w:val="clear" w:color="auto" w:fill="FFFF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Média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33">
              <w:r>
                <w:t>Aprofunde em PHP com arquitetura e padrões de projeto</w:t>
              </w:r>
            </w:hyperlink>
          </w:p>
        </w:tc>
        <w:tc>
          <w:tcPr>
            <w:tcW w:w="1185" w:type="dxa"/>
          </w:tcPr>
          <w:p w:rsidR="004E4AF8" w:rsidRDefault="004E4AF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1155CC"/>
                <w:sz w:val="20"/>
                <w:szCs w:val="20"/>
                <w:u w:val="single"/>
              </w:rPr>
            </w:pPr>
          </w:p>
        </w:tc>
        <w:tc>
          <w:tcPr>
            <w:tcW w:w="1609" w:type="dxa"/>
          </w:tcPr>
          <w:p w:rsidR="004E4AF8" w:rsidRDefault="004E4AF8">
            <w:pPr>
              <w:cnfStyle w:val="000000100000" w:firstRow="0" w:lastRow="0" w:firstColumn="0" w:lastColumn="0" w:oddVBand="0" w:evenVBand="0" w:oddHBand="1" w:evenHBand="0" w:firstRowFirstColumn="0" w:firstRowLastColumn="0" w:lastRowFirstColumn="0" w:lastRowLastColumn="0"/>
              <w:rPr>
                <w:sz w:val="20"/>
                <w:szCs w:val="20"/>
              </w:rPr>
            </w:pPr>
          </w:p>
        </w:tc>
        <w:tc>
          <w:tcPr>
            <w:tcW w:w="1547" w:type="dxa"/>
          </w:tcPr>
          <w:p w:rsidR="004E4AF8" w:rsidRDefault="004E4AF8">
            <w:pPr>
              <w:cnfStyle w:val="000000100000" w:firstRow="0" w:lastRow="0" w:firstColumn="0" w:lastColumn="0" w:oddVBand="0" w:evenVBand="0" w:oddHBand="1" w:evenHBand="0" w:firstRowFirstColumn="0" w:firstRowLastColumn="0" w:lastRowFirstColumn="0" w:lastRowLastColumn="0"/>
              <w:rPr>
                <w:sz w:val="20"/>
                <w:szCs w:val="20"/>
              </w:rPr>
            </w:pPr>
          </w:p>
        </w:tc>
        <w:tc>
          <w:tcPr>
            <w:tcW w:w="199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20"/>
                <w:szCs w:val="20"/>
              </w:rPr>
            </w:pPr>
          </w:p>
        </w:tc>
        <w:tc>
          <w:tcPr>
            <w:tcW w:w="2799" w:type="dxa"/>
          </w:tcPr>
          <w:p w:rsidR="004E4AF8" w:rsidRDefault="00D6230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Modelar projeto usando boas práticas como SOLID e padrões de projeto. Use DDD e saiba as vantagens da Clean Architecture.</w:t>
            </w:r>
          </w:p>
        </w:tc>
        <w:tc>
          <w:tcPr>
            <w:tcW w:w="1457" w:type="dxa"/>
            <w:shd w:val="clear" w:color="auto" w:fill="FFFF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Média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34">
              <w:r>
                <w:t>Aprofunde em PHP</w:t>
              </w:r>
              <w:r>
                <w:t xml:space="preserve"> com Arquitetura, Design e Escalabilidade de Sistemas</w:t>
              </w:r>
            </w:hyperlink>
          </w:p>
        </w:tc>
        <w:tc>
          <w:tcPr>
            <w:tcW w:w="1185" w:type="dxa"/>
          </w:tcPr>
          <w:p w:rsidR="004E4AF8" w:rsidRDefault="004E4AF8">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1155CC"/>
                <w:sz w:val="20"/>
                <w:szCs w:val="20"/>
                <w:u w:val="single"/>
              </w:rPr>
            </w:pPr>
          </w:p>
        </w:tc>
        <w:tc>
          <w:tcPr>
            <w:tcW w:w="1609"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1547"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199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2799" w:type="dxa"/>
          </w:tcPr>
          <w:p w:rsidR="004E4AF8" w:rsidRDefault="00D6230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Aprender fundamentos de escalabilidade, performance vs. escalabilidade, projeto arquitetonico, otimizações de aplicações, configuração para produção, introdução ao swoole (framework de programação assíncrona), monitoramento, gestão de alta demanda e segura</w:t>
            </w:r>
            <w:r>
              <w:rPr>
                <w:rFonts w:ascii="Arial" w:eastAsia="Arial" w:hAnsi="Arial" w:cs="Arial"/>
                <w:sz w:val="20"/>
                <w:szCs w:val="20"/>
              </w:rPr>
              <w:t>nça, documentação arquitetural</w:t>
            </w:r>
          </w:p>
        </w:tc>
        <w:tc>
          <w:tcPr>
            <w:tcW w:w="1457" w:type="dxa"/>
            <w:shd w:val="clear" w:color="auto" w:fill="FFFF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Média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35">
              <w:r>
                <w:t>Symfony e Doctrine: crie aplicações web em PHP</w:t>
              </w:r>
            </w:hyperlink>
          </w:p>
        </w:tc>
        <w:tc>
          <w:tcPr>
            <w:tcW w:w="1185" w:type="dxa"/>
          </w:tcPr>
          <w:p w:rsidR="004E4AF8" w:rsidRDefault="004E4AF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1155CC"/>
                <w:sz w:val="20"/>
                <w:szCs w:val="20"/>
                <w:u w:val="single"/>
              </w:rPr>
            </w:pPr>
          </w:p>
        </w:tc>
        <w:tc>
          <w:tcPr>
            <w:tcW w:w="1609" w:type="dxa"/>
          </w:tcPr>
          <w:p w:rsidR="004E4AF8" w:rsidRDefault="004E4AF8">
            <w:pPr>
              <w:cnfStyle w:val="000000100000" w:firstRow="0" w:lastRow="0" w:firstColumn="0" w:lastColumn="0" w:oddVBand="0" w:evenVBand="0" w:oddHBand="1" w:evenHBand="0" w:firstRowFirstColumn="0" w:firstRowLastColumn="0" w:lastRowFirstColumn="0" w:lastRowLastColumn="0"/>
              <w:rPr>
                <w:sz w:val="20"/>
                <w:szCs w:val="20"/>
              </w:rPr>
            </w:pPr>
          </w:p>
        </w:tc>
        <w:tc>
          <w:tcPr>
            <w:tcW w:w="1547" w:type="dxa"/>
          </w:tcPr>
          <w:p w:rsidR="004E4AF8" w:rsidRDefault="004E4AF8">
            <w:pPr>
              <w:cnfStyle w:val="000000100000" w:firstRow="0" w:lastRow="0" w:firstColumn="0" w:lastColumn="0" w:oddVBand="0" w:evenVBand="0" w:oddHBand="1" w:evenHBand="0" w:firstRowFirstColumn="0" w:firstRowLastColumn="0" w:lastRowFirstColumn="0" w:lastRowLastColumn="0"/>
              <w:rPr>
                <w:sz w:val="20"/>
                <w:szCs w:val="20"/>
              </w:rPr>
            </w:pPr>
          </w:p>
        </w:tc>
        <w:tc>
          <w:tcPr>
            <w:tcW w:w="199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20"/>
                <w:szCs w:val="20"/>
              </w:rPr>
            </w:pPr>
          </w:p>
        </w:tc>
        <w:tc>
          <w:tcPr>
            <w:tcW w:w="2799" w:type="dxa"/>
          </w:tcPr>
          <w:p w:rsidR="004E4AF8" w:rsidRDefault="00D6230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Symfony é um framework open-source de PHP para aplicações Web, que nasceu inspirado no Spring Framework do Java.</w:t>
            </w:r>
            <w:r>
              <w:rPr>
                <w:rFonts w:ascii="Arial" w:eastAsia="Arial" w:hAnsi="Arial" w:cs="Arial"/>
                <w:sz w:val="20"/>
                <w:szCs w:val="20"/>
              </w:rPr>
              <w:br/>
              <w:t>Doctrine é um conjunto de bibliotecas que tem como objetivo prover persistência, ele contém vários componentes e pacotes. Nesta formação você v</w:t>
            </w:r>
            <w:r>
              <w:rPr>
                <w:rFonts w:ascii="Arial" w:eastAsia="Arial" w:hAnsi="Arial" w:cs="Arial"/>
                <w:sz w:val="20"/>
                <w:szCs w:val="20"/>
              </w:rPr>
              <w:t>ai conhecer e utilizar o ORM (Object Relational Mapper), uma ferramenta que auxilia a mapear um modelo orientado a objetos para um modelo relacional no banco de dados.</w:t>
            </w:r>
          </w:p>
        </w:tc>
        <w:tc>
          <w:tcPr>
            <w:tcW w:w="1457" w:type="dxa"/>
            <w:shd w:val="clear" w:color="auto" w:fill="FFFF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Média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36">
              <w:r>
                <w:t>PH</w:t>
              </w:r>
              <w:r>
                <w:t>P Web: crie aplicações web em PHP</w:t>
              </w:r>
            </w:hyperlink>
          </w:p>
        </w:tc>
        <w:tc>
          <w:tcPr>
            <w:tcW w:w="1185" w:type="dxa"/>
          </w:tcPr>
          <w:p w:rsidR="004E4AF8" w:rsidRDefault="004E4AF8">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1155CC"/>
                <w:sz w:val="20"/>
                <w:szCs w:val="20"/>
                <w:u w:val="single"/>
              </w:rPr>
            </w:pPr>
          </w:p>
        </w:tc>
        <w:tc>
          <w:tcPr>
            <w:tcW w:w="1609"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1547"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199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2799" w:type="dxa"/>
          </w:tcPr>
          <w:p w:rsidR="004E4AF8" w:rsidRDefault="00D6230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Aprender a criar uma aplicação Web com PHP</w:t>
            </w:r>
          </w:p>
        </w:tc>
        <w:tc>
          <w:tcPr>
            <w:tcW w:w="1457" w:type="dxa"/>
            <w:shd w:val="clear" w:color="auto" w:fill="FF00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Média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37">
              <w:r>
                <w:t>Laravel: crie aplicações web em PHP</w:t>
              </w:r>
            </w:hyperlink>
          </w:p>
        </w:tc>
        <w:tc>
          <w:tcPr>
            <w:tcW w:w="1185" w:type="dxa"/>
          </w:tcPr>
          <w:p w:rsidR="004E4AF8" w:rsidRDefault="004E4AF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1155CC"/>
                <w:sz w:val="20"/>
                <w:szCs w:val="20"/>
                <w:u w:val="single"/>
              </w:rPr>
            </w:pPr>
          </w:p>
        </w:tc>
        <w:tc>
          <w:tcPr>
            <w:tcW w:w="1609" w:type="dxa"/>
          </w:tcPr>
          <w:p w:rsidR="004E4AF8" w:rsidRDefault="004E4AF8">
            <w:pPr>
              <w:cnfStyle w:val="000000100000" w:firstRow="0" w:lastRow="0" w:firstColumn="0" w:lastColumn="0" w:oddVBand="0" w:evenVBand="0" w:oddHBand="1" w:evenHBand="0" w:firstRowFirstColumn="0" w:firstRowLastColumn="0" w:lastRowFirstColumn="0" w:lastRowLastColumn="0"/>
              <w:rPr>
                <w:sz w:val="20"/>
                <w:szCs w:val="20"/>
              </w:rPr>
            </w:pPr>
          </w:p>
        </w:tc>
        <w:tc>
          <w:tcPr>
            <w:tcW w:w="1547" w:type="dxa"/>
          </w:tcPr>
          <w:p w:rsidR="004E4AF8" w:rsidRDefault="004E4AF8">
            <w:pPr>
              <w:cnfStyle w:val="000000100000" w:firstRow="0" w:lastRow="0" w:firstColumn="0" w:lastColumn="0" w:oddVBand="0" w:evenVBand="0" w:oddHBand="1" w:evenHBand="0" w:firstRowFirstColumn="0" w:firstRowLastColumn="0" w:lastRowFirstColumn="0" w:lastRowLastColumn="0"/>
              <w:rPr>
                <w:sz w:val="20"/>
                <w:szCs w:val="20"/>
              </w:rPr>
            </w:pPr>
          </w:p>
        </w:tc>
        <w:tc>
          <w:tcPr>
            <w:tcW w:w="199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20"/>
                <w:szCs w:val="20"/>
              </w:rPr>
            </w:pPr>
          </w:p>
        </w:tc>
        <w:tc>
          <w:tcPr>
            <w:tcW w:w="2799" w:type="dxa"/>
          </w:tcPr>
          <w:p w:rsidR="004E4AF8" w:rsidRDefault="00D6230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Laravel é um framework PHP livre e open-source para o desenvolvimento de sistemas web que utilizam o </w:t>
            </w:r>
            <w:r>
              <w:rPr>
                <w:rFonts w:ascii="Arial" w:eastAsia="Arial" w:hAnsi="Arial" w:cs="Arial"/>
                <w:sz w:val="20"/>
                <w:szCs w:val="20"/>
              </w:rPr>
              <w:lastRenderedPageBreak/>
              <w:t>padrão MVC.</w:t>
            </w:r>
            <w:r>
              <w:rPr>
                <w:rFonts w:ascii="Arial" w:eastAsia="Arial" w:hAnsi="Arial" w:cs="Arial"/>
                <w:sz w:val="20"/>
                <w:szCs w:val="20"/>
              </w:rPr>
              <w:br/>
              <w:t>Nesta formação você vai criar aplicações web utilizando o framework, para agilizar e facilitar o seu trabalho no dia a dia.</w:t>
            </w: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Média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38">
              <w:r>
                <w:t>Aprofunde em PHP com programação funcional, assíncrona e metaprogramação</w:t>
              </w:r>
            </w:hyperlink>
          </w:p>
        </w:tc>
        <w:tc>
          <w:tcPr>
            <w:tcW w:w="1185" w:type="dxa"/>
          </w:tcPr>
          <w:p w:rsidR="004E4AF8" w:rsidRDefault="004E4AF8">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1155CC"/>
                <w:sz w:val="20"/>
                <w:szCs w:val="20"/>
                <w:u w:val="single"/>
              </w:rPr>
            </w:pPr>
          </w:p>
        </w:tc>
        <w:tc>
          <w:tcPr>
            <w:tcW w:w="1609"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1547"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199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20"/>
                <w:szCs w:val="20"/>
              </w:rPr>
            </w:pPr>
          </w:p>
        </w:tc>
        <w:tc>
          <w:tcPr>
            <w:tcW w:w="2799" w:type="dxa"/>
          </w:tcPr>
          <w:p w:rsidR="004E4AF8" w:rsidRDefault="00D6230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Nesta formação, você irá aprender a explorar a program</w:t>
            </w:r>
            <w:r>
              <w:rPr>
                <w:rFonts w:ascii="Arial" w:eastAsia="Arial" w:hAnsi="Arial" w:cs="Arial"/>
                <w:sz w:val="20"/>
                <w:szCs w:val="20"/>
              </w:rPr>
              <w:t>ação funcional em PHP, desenvolvendo habilidades para criar código conciso e modular, utilizando funções puras e garantindo a imutabilidade dos dados. Além disso, verá como utilizar a programação assíncrona em PHP para lidar eficientemente com tarefas demo</w:t>
            </w:r>
            <w:r>
              <w:rPr>
                <w:rFonts w:ascii="Arial" w:eastAsia="Arial" w:hAnsi="Arial" w:cs="Arial"/>
                <w:sz w:val="20"/>
                <w:szCs w:val="20"/>
              </w:rPr>
              <w:t>radas, como chamadas de API e consultas a bancos de dados remotos. Por fim, irá dominar a metaprogramação em PHP, capacitando-se a gerar e modificar código dinamicamente durante a execução do programa, oferecendo flexibilidade e automação no desenvolviment</w:t>
            </w:r>
            <w:r>
              <w:rPr>
                <w:rFonts w:ascii="Arial" w:eastAsia="Arial" w:hAnsi="Arial" w:cs="Arial"/>
                <w:sz w:val="20"/>
                <w:szCs w:val="20"/>
              </w:rPr>
              <w:t>o.</w:t>
            </w:r>
          </w:p>
        </w:tc>
        <w:tc>
          <w:tcPr>
            <w:tcW w:w="1457" w:type="dxa"/>
            <w:shd w:val="clear" w:color="auto" w:fill="FF00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Média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39">
              <w:r>
                <w:t>WordPress: crie sites do zero</w:t>
              </w:r>
            </w:hyperlink>
          </w:p>
        </w:tc>
        <w:tc>
          <w:tcPr>
            <w:tcW w:w="1185" w:type="dxa"/>
          </w:tcPr>
          <w:p w:rsidR="004E4AF8" w:rsidRDefault="004E4AF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1155CC"/>
                <w:sz w:val="20"/>
                <w:szCs w:val="20"/>
                <w:u w:val="single"/>
              </w:rPr>
            </w:pPr>
          </w:p>
        </w:tc>
        <w:tc>
          <w:tcPr>
            <w:tcW w:w="1609" w:type="dxa"/>
          </w:tcPr>
          <w:p w:rsidR="004E4AF8" w:rsidRDefault="004E4AF8">
            <w:pPr>
              <w:cnfStyle w:val="000000100000" w:firstRow="0" w:lastRow="0" w:firstColumn="0" w:lastColumn="0" w:oddVBand="0" w:evenVBand="0" w:oddHBand="1" w:evenHBand="0" w:firstRowFirstColumn="0" w:firstRowLastColumn="0" w:lastRowFirstColumn="0" w:lastRowLastColumn="0"/>
              <w:rPr>
                <w:sz w:val="20"/>
                <w:szCs w:val="20"/>
              </w:rPr>
            </w:pPr>
          </w:p>
        </w:tc>
        <w:tc>
          <w:tcPr>
            <w:tcW w:w="1547" w:type="dxa"/>
          </w:tcPr>
          <w:p w:rsidR="004E4AF8" w:rsidRDefault="004E4AF8">
            <w:pPr>
              <w:cnfStyle w:val="000000100000" w:firstRow="0" w:lastRow="0" w:firstColumn="0" w:lastColumn="0" w:oddVBand="0" w:evenVBand="0" w:oddHBand="1" w:evenHBand="0" w:firstRowFirstColumn="0" w:firstRowLastColumn="0" w:lastRowFirstColumn="0" w:lastRowLastColumn="0"/>
              <w:rPr>
                <w:sz w:val="20"/>
                <w:szCs w:val="20"/>
              </w:rPr>
            </w:pPr>
          </w:p>
        </w:tc>
        <w:tc>
          <w:tcPr>
            <w:tcW w:w="199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20"/>
                <w:szCs w:val="20"/>
              </w:rPr>
            </w:pPr>
          </w:p>
        </w:tc>
        <w:tc>
          <w:tcPr>
            <w:tcW w:w="2799" w:type="dxa"/>
          </w:tcPr>
          <w:p w:rsidR="004E4AF8" w:rsidRDefault="00D6230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Aprender desde a instalação do Wordpress, até mesmo como desenvolver um site profissional, aplicando responsividade e efeitos de animação</w:t>
            </w:r>
            <w:r>
              <w:rPr>
                <w:rFonts w:ascii="Arial" w:eastAsia="Arial" w:hAnsi="Arial" w:cs="Arial"/>
                <w:sz w:val="20"/>
                <w:szCs w:val="20"/>
              </w:rPr>
              <w:br/>
              <w:t xml:space="preserve">- Entenderá desde a </w:t>
            </w:r>
            <w:r>
              <w:rPr>
                <w:rFonts w:ascii="Arial" w:eastAsia="Arial" w:hAnsi="Arial" w:cs="Arial"/>
                <w:sz w:val="20"/>
                <w:szCs w:val="20"/>
              </w:rPr>
              <w:lastRenderedPageBreak/>
              <w:t>customização de um post no Wordpress até a a implementação de efeitos visuais modernos como modo</w:t>
            </w:r>
            <w:r>
              <w:rPr>
                <w:rFonts w:ascii="Arial" w:eastAsia="Arial" w:hAnsi="Arial" w:cs="Arial"/>
                <w:sz w:val="20"/>
                <w:szCs w:val="20"/>
              </w:rPr>
              <w:t xml:space="preserve"> noturno.</w:t>
            </w:r>
            <w:r>
              <w:rPr>
                <w:rFonts w:ascii="Arial" w:eastAsia="Arial" w:hAnsi="Arial" w:cs="Arial"/>
                <w:sz w:val="20"/>
                <w:szCs w:val="20"/>
              </w:rPr>
              <w:br/>
              <w:t>- Aplicar plugins ao seu site, para inserir funcionalidades como integração com WhatsApp e Internacionalização.</w:t>
            </w:r>
            <w:r>
              <w:rPr>
                <w:rFonts w:ascii="Arial" w:eastAsia="Arial" w:hAnsi="Arial" w:cs="Arial"/>
                <w:sz w:val="20"/>
                <w:szCs w:val="20"/>
              </w:rPr>
              <w:br/>
              <w:t>- Verá como a criação de novas páginas, posts, imagens e formulários pode ser otimizada no Wordpress sem a obrigatoriedade da utilizaç</w:t>
            </w:r>
            <w:r>
              <w:rPr>
                <w:rFonts w:ascii="Arial" w:eastAsia="Arial" w:hAnsi="Arial" w:cs="Arial"/>
                <w:sz w:val="20"/>
                <w:szCs w:val="20"/>
              </w:rPr>
              <w:t>ão de uma linguagem de programação ou código HTML - uma ótima opção para quem não é dev e não conhece linguagens de programação.</w:t>
            </w:r>
          </w:p>
        </w:tc>
        <w:tc>
          <w:tcPr>
            <w:tcW w:w="1457" w:type="dxa"/>
            <w:shd w:val="clear" w:color="auto" w:fill="FFFF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Média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40">
              <w:r>
                <w:t>Aplicações Escaláve</w:t>
              </w:r>
              <w:r>
                <w:t>is com Angular</w:t>
              </w:r>
            </w:hyperlink>
          </w:p>
        </w:tc>
        <w:tc>
          <w:tcPr>
            <w:tcW w:w="118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Construir aplicativos da web modernos e responsivos usando o Angular como framework de desenvolvimento.</w:t>
            </w:r>
          </w:p>
        </w:tc>
        <w:tc>
          <w:tcPr>
            <w:tcW w:w="1457" w:type="dxa"/>
            <w:shd w:val="clear" w:color="auto" w:fill="FF00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41">
              <w:r>
                <w:t>Formação em Angular: construindo aplicações acessíveis e avançando em testes automatizados</w:t>
              </w:r>
            </w:hyperlink>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457" w:type="dxa"/>
            <w:shd w:val="clear" w:color="auto" w:fill="FFFF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rial" w:eastAsia="Arial" w:hAnsi="Arial" w:cs="Arial"/>
                <w:sz w:val="20"/>
                <w:szCs w:val="20"/>
              </w:rPr>
              <w:t>Média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42">
              <w:r>
                <w:t>Explore o Framework Angular</w:t>
              </w:r>
            </w:hyperlink>
          </w:p>
        </w:tc>
        <w:tc>
          <w:tcPr>
            <w:tcW w:w="118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457" w:type="dxa"/>
            <w:shd w:val="clear" w:color="auto" w:fill="FFFF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eastAsia="Arial" w:hAnsi="Arial" w:cs="Arial"/>
                <w:sz w:val="20"/>
                <w:szCs w:val="20"/>
              </w:rPr>
              <w:t>Média</w:t>
            </w: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43">
              <w:r>
                <w:t>Formação Mensageria com Apache Kafka</w:t>
              </w:r>
            </w:hyperlink>
          </w:p>
        </w:tc>
        <w:tc>
          <w:tcPr>
            <w:tcW w:w="1185" w:type="dxa"/>
            <w:vMerge w:val="restart"/>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vMerge w:val="restart"/>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vMerge w:val="restart"/>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vMerge w:val="restart"/>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vMerge w:val="restart"/>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Construir sistemas de streaming de dados em </w:t>
            </w:r>
            <w:r>
              <w:rPr>
                <w:rFonts w:ascii="Arial" w:eastAsia="Arial" w:hAnsi="Arial" w:cs="Arial"/>
                <w:sz w:val="20"/>
                <w:szCs w:val="20"/>
              </w:rPr>
              <w:lastRenderedPageBreak/>
              <w:t>tempo real, processamento de eventos e integração de sistemas usando a plataforma Kafka.</w:t>
            </w:r>
          </w:p>
        </w:tc>
        <w:tc>
          <w:tcPr>
            <w:tcW w:w="1457" w:type="dxa"/>
            <w:vMerge w:val="restart"/>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44">
              <w:r>
                <w:t>Apache Kafka para iniciantes 2h</w:t>
              </w:r>
            </w:hyperlink>
            <w:hyperlink r:id="rId45">
              <w:r>
                <w:rPr>
                  <w:rFonts w:ascii="Arial" w:eastAsia="Arial" w:hAnsi="Arial" w:cs="Arial"/>
                  <w:sz w:val="20"/>
                  <w:szCs w:val="20"/>
                </w:rPr>
                <w:br/>
              </w:r>
            </w:hyperlink>
            <w:hyperlink r:id="rId46">
              <w:r>
                <w:t>APACHE KAFKA e Databricks: Streaming e Processamento 10h</w:t>
              </w:r>
            </w:hyperlink>
            <w:hyperlink r:id="rId47">
              <w:r>
                <w:rPr>
                  <w:rFonts w:ascii="Arial" w:eastAsia="Arial" w:hAnsi="Arial" w:cs="Arial"/>
                  <w:sz w:val="20"/>
                  <w:szCs w:val="20"/>
                </w:rPr>
                <w:br/>
              </w:r>
            </w:hyperlink>
            <w:hyperlink r:id="rId48">
              <w:r>
                <w:t>Apache Kafka 4h</w:t>
              </w:r>
            </w:hyperlink>
            <w:hyperlink r:id="rId49">
              <w:r>
                <w:rPr>
                  <w:rFonts w:ascii="Arial" w:eastAsia="Arial" w:hAnsi="Arial" w:cs="Arial"/>
                  <w:sz w:val="20"/>
                  <w:szCs w:val="20"/>
                </w:rPr>
                <w:br/>
              </w:r>
            </w:hyperlink>
            <w:hyperlink r:id="rId50">
              <w:r>
                <w:t>Domine Apache Kafka, Fundamentos e Aplicações Reais 7h</w:t>
              </w:r>
            </w:hyperlink>
            <w:hyperlink r:id="rId51">
              <w:r>
                <w:rPr>
                  <w:rFonts w:ascii="Arial" w:eastAsia="Arial" w:hAnsi="Arial" w:cs="Arial"/>
                  <w:sz w:val="20"/>
                  <w:szCs w:val="20"/>
                </w:rPr>
                <w:br/>
              </w:r>
            </w:hyperlink>
            <w:hyperlink r:id="rId52">
              <w:r>
                <w:t>APACHE KAFKA e NIFI: distribua dados e crie fluxos de dados 9h</w:t>
              </w:r>
            </w:hyperlink>
          </w:p>
        </w:tc>
        <w:tc>
          <w:tcPr>
            <w:tcW w:w="1185" w:type="dxa"/>
            <w:vMerge/>
          </w:tcPr>
          <w:p w:rsidR="004E4AF8" w:rsidRDefault="004E4AF8">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609" w:type="dxa"/>
            <w:vMerge/>
          </w:tcPr>
          <w:p w:rsidR="004E4AF8" w:rsidRDefault="004E4AF8">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547" w:type="dxa"/>
            <w:vMerge/>
          </w:tcPr>
          <w:p w:rsidR="004E4AF8" w:rsidRDefault="004E4AF8">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995" w:type="dxa"/>
            <w:vMerge/>
          </w:tcPr>
          <w:p w:rsidR="004E4AF8" w:rsidRDefault="004E4AF8">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799" w:type="dxa"/>
            <w:vMerge/>
          </w:tcPr>
          <w:p w:rsidR="004E4AF8" w:rsidRDefault="004E4AF8">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457" w:type="dxa"/>
            <w:vMerge/>
            <w:shd w:val="clear" w:color="auto" w:fill="FF0000"/>
            <w:vAlign w:val="center"/>
          </w:tcPr>
          <w:p w:rsidR="004E4AF8" w:rsidRDefault="004E4AF8">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22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53">
              <w:r>
                <w:t>Formação Aprofunde em Java com arquitetura de Microsserviços, Spring e RabbitMQ</w:t>
              </w:r>
            </w:hyperlink>
          </w:p>
        </w:tc>
        <w:tc>
          <w:tcPr>
            <w:tcW w:w="118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Construir sistemas assíncronos, sistemas de mensagens distribuídas, filas de processamento de trabalho (work queues), sistemas de eventos e outros cenários em que a comunicação assíncrona é necessária usando o RabbitMQ.</w:t>
            </w:r>
          </w:p>
        </w:tc>
        <w:tc>
          <w:tcPr>
            <w:tcW w:w="1457" w:type="dxa"/>
            <w:shd w:val="clear" w:color="auto" w:fill="FF0000"/>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w:t>
            </w:r>
            <w:r>
              <w:rPr>
                <w:rFonts w:ascii="Arial" w:eastAsia="Arial" w:hAnsi="Arial" w:cs="Arial"/>
                <w:sz w:val="20"/>
                <w:szCs w:val="20"/>
              </w:rPr>
              <w:t>mento 2024</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743" w:type="dxa"/>
          </w:tcPr>
          <w:p w:rsidR="004E4AF8" w:rsidRDefault="00D62302">
            <w:pPr>
              <w:jc w:val="left"/>
              <w:rPr>
                <w:rFonts w:ascii="Arial" w:eastAsia="Arial" w:hAnsi="Arial" w:cs="Arial"/>
                <w:sz w:val="20"/>
                <w:szCs w:val="20"/>
              </w:rPr>
            </w:pPr>
            <w:hyperlink r:id="rId54">
              <w:r>
                <w:t>Formação Engenharia de software</w:t>
              </w:r>
            </w:hyperlink>
          </w:p>
        </w:tc>
        <w:tc>
          <w:tcPr>
            <w:tcW w:w="118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5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w:t>
            </w:r>
          </w:p>
        </w:tc>
        <w:tc>
          <w:tcPr>
            <w:tcW w:w="1995"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Integral</w:t>
            </w:r>
          </w:p>
        </w:tc>
        <w:tc>
          <w:tcPr>
            <w:tcW w:w="2799"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Aprender e aprofundar seus conhecimentos em arquiteturas de microserviços, visando criar sistemas escaláveis, flexíveis e altamente distribuídos.</w:t>
            </w:r>
          </w:p>
        </w:tc>
        <w:tc>
          <w:tcPr>
            <w:tcW w:w="1457" w:type="dxa"/>
            <w:shd w:val="clear" w:color="auto" w:fill="FF0000"/>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225" w:type="dxa"/>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2024</w:t>
            </w:r>
          </w:p>
        </w:tc>
      </w:tr>
    </w:tbl>
    <w:p w:rsidR="004E4AF8" w:rsidRDefault="00D62302">
      <w:pPr>
        <w:pStyle w:val="Ttulo5"/>
      </w:pPr>
      <w:bookmarkStart w:id="18" w:name="_heading=h.44sinio" w:colFirst="0" w:colLast="0"/>
      <w:bookmarkEnd w:id="18"/>
      <w:r>
        <w:lastRenderedPageBreak/>
        <w:t>Tabela 5 - Ações de Capacitação/Gerência de Sistemas</w:t>
      </w:r>
    </w:p>
    <w:p w:rsidR="004E4AF8" w:rsidRDefault="00D62302">
      <w:pPr>
        <w:pStyle w:val="Ttulo3"/>
        <w:numPr>
          <w:ilvl w:val="2"/>
          <w:numId w:val="5"/>
        </w:numPr>
      </w:pPr>
      <w:bookmarkStart w:id="19" w:name="_heading=h.2jxsxqh" w:colFirst="0" w:colLast="0"/>
      <w:bookmarkEnd w:id="19"/>
      <w:r>
        <w:t>Gerência de Serviços de TI</w:t>
      </w:r>
    </w:p>
    <w:tbl>
      <w:tblPr>
        <w:tblStyle w:val="afffffffffffffff7"/>
        <w:tblW w:w="145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7"/>
        <w:gridCol w:w="918"/>
        <w:gridCol w:w="1347"/>
        <w:gridCol w:w="1617"/>
        <w:gridCol w:w="794"/>
        <w:gridCol w:w="1973"/>
        <w:gridCol w:w="1147"/>
        <w:gridCol w:w="987"/>
        <w:gridCol w:w="1207"/>
        <w:gridCol w:w="1106"/>
        <w:gridCol w:w="1217"/>
      </w:tblGrid>
      <w:tr w:rsidR="004E4AF8" w:rsidTr="004E4A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center"/>
              <w:rPr>
                <w:rFonts w:ascii="Arial" w:eastAsia="Arial" w:hAnsi="Arial" w:cs="Arial"/>
                <w:sz w:val="18"/>
                <w:szCs w:val="18"/>
              </w:rPr>
            </w:pPr>
            <w:r>
              <w:rPr>
                <w:rFonts w:ascii="Arial" w:eastAsia="Arial" w:hAnsi="Arial" w:cs="Arial"/>
                <w:sz w:val="18"/>
                <w:szCs w:val="18"/>
              </w:rPr>
              <w:t>Nome do Curso</w:t>
            </w:r>
          </w:p>
        </w:tc>
        <w:tc>
          <w:tcPr>
            <w:tcW w:w="918" w:type="dxa"/>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Público Alvo</w:t>
            </w:r>
          </w:p>
        </w:tc>
        <w:tc>
          <w:tcPr>
            <w:tcW w:w="1347" w:type="dxa"/>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Participantes</w:t>
            </w:r>
          </w:p>
        </w:tc>
        <w:tc>
          <w:tcPr>
            <w:tcW w:w="1617" w:type="dxa"/>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Modalidade</w:t>
            </w:r>
          </w:p>
        </w:tc>
        <w:tc>
          <w:tcPr>
            <w:tcW w:w="794" w:type="dxa"/>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Turno</w:t>
            </w:r>
          </w:p>
        </w:tc>
        <w:tc>
          <w:tcPr>
            <w:tcW w:w="1973" w:type="dxa"/>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Resulta os Esperados</w:t>
            </w:r>
          </w:p>
        </w:tc>
        <w:tc>
          <w:tcPr>
            <w:tcW w:w="1147" w:type="dxa"/>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Criticidade</w:t>
            </w:r>
          </w:p>
        </w:tc>
        <w:tc>
          <w:tcPr>
            <w:tcW w:w="987" w:type="dxa"/>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Gerência</w:t>
            </w:r>
          </w:p>
        </w:tc>
        <w:tc>
          <w:tcPr>
            <w:tcW w:w="1207" w:type="dxa"/>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Custo Previsto</w:t>
            </w:r>
          </w:p>
        </w:tc>
        <w:tc>
          <w:tcPr>
            <w:tcW w:w="1106" w:type="dxa"/>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Valor Unitário</w:t>
            </w:r>
          </w:p>
        </w:tc>
        <w:tc>
          <w:tcPr>
            <w:tcW w:w="1217" w:type="dxa"/>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Valor Total</w:t>
            </w:r>
          </w:p>
        </w:tc>
      </w:tr>
      <w:tr w:rsidR="004E4AF8" w:rsidTr="004E4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Curso de Gestão e Fiscalização de contratos de TI</w:t>
            </w:r>
          </w:p>
        </w:tc>
        <w:tc>
          <w:tcPr>
            <w:tcW w:w="918"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Dominar as particularidades em contratações públicas de TI, melhores práticas de planejamento de</w:t>
            </w:r>
            <w:r>
              <w:rPr>
                <w:rFonts w:ascii="Arial" w:eastAsia="Arial" w:hAnsi="Arial" w:cs="Arial"/>
                <w:sz w:val="20"/>
                <w:szCs w:val="20"/>
              </w:rPr>
              <w:br/>
              <w:t>contratações de acordo com as normas vigentes e os órgãos de controle.</w:t>
            </w:r>
          </w:p>
        </w:tc>
        <w:tc>
          <w:tcPr>
            <w:tcW w:w="114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R$ 10.000,00</w:t>
            </w:r>
          </w:p>
        </w:tc>
        <w:tc>
          <w:tcPr>
            <w:tcW w:w="12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R$ 40.000,00</w:t>
            </w:r>
          </w:p>
        </w:tc>
      </w:tr>
      <w:tr w:rsidR="004E4AF8" w:rsidTr="004E4AF8">
        <w:trPr>
          <w:trHeight w:val="300"/>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Curso de Contratações Públicas d</w:t>
            </w:r>
            <w:r>
              <w:rPr>
                <w:rFonts w:ascii="Arial" w:eastAsia="Arial" w:hAnsi="Arial" w:cs="Arial"/>
                <w:sz w:val="20"/>
                <w:szCs w:val="20"/>
              </w:rPr>
              <w:t>e TI</w:t>
            </w:r>
          </w:p>
        </w:tc>
        <w:tc>
          <w:tcPr>
            <w:tcW w:w="918"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Dominar as particularidades em contratações públicas de TI, melhores práticas de planejamento de</w:t>
            </w:r>
            <w:r>
              <w:rPr>
                <w:rFonts w:ascii="Arial" w:eastAsia="Arial" w:hAnsi="Arial" w:cs="Arial"/>
                <w:sz w:val="20"/>
                <w:szCs w:val="20"/>
              </w:rPr>
              <w:br/>
              <w:t>contratações de acordo com as normas vigentes e os órgãos de controle.</w:t>
            </w:r>
          </w:p>
        </w:tc>
        <w:tc>
          <w:tcPr>
            <w:tcW w:w="114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R$ 10.000,00</w:t>
            </w:r>
          </w:p>
        </w:tc>
        <w:tc>
          <w:tcPr>
            <w:tcW w:w="12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R$ 40.000,00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Curso de Gerenciamento de Projetos (PMI,PMP,PMbok)</w:t>
            </w:r>
          </w:p>
        </w:tc>
        <w:tc>
          <w:tcPr>
            <w:tcW w:w="918"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Obter o conhecimento de gestão de projetos baseados nos 3 conceitos mais </w:t>
            </w:r>
            <w:r>
              <w:rPr>
                <w:rFonts w:ascii="Arial" w:eastAsia="Arial" w:hAnsi="Arial" w:cs="Arial"/>
                <w:sz w:val="20"/>
                <w:szCs w:val="20"/>
              </w:rPr>
              <w:lastRenderedPageBreak/>
              <w:t>importantes para o acompanhamento de todas as etapas do projeto de infraestrutura, hardware e software e</w:t>
            </w:r>
            <w:r>
              <w:rPr>
                <w:rFonts w:ascii="Arial" w:eastAsia="Arial" w:hAnsi="Arial" w:cs="Arial"/>
                <w:sz w:val="20"/>
                <w:szCs w:val="20"/>
              </w:rPr>
              <w:br/>
              <w:t>suas boas práticas.</w:t>
            </w:r>
          </w:p>
        </w:tc>
        <w:tc>
          <w:tcPr>
            <w:tcW w:w="1147" w:type="dxa"/>
            <w:shd w:val="clear" w:color="auto" w:fill="FFFF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Média</w:t>
            </w:r>
          </w:p>
        </w:tc>
        <w:tc>
          <w:tcPr>
            <w:tcW w:w="98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R$ 200,00</w:t>
            </w:r>
          </w:p>
        </w:tc>
        <w:tc>
          <w:tcPr>
            <w:tcW w:w="12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R$ 800,00</w:t>
            </w:r>
          </w:p>
        </w:tc>
      </w:tr>
      <w:tr w:rsidR="004E4AF8" w:rsidTr="004E4AF8">
        <w:trPr>
          <w:trHeight w:val="360"/>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Introdu</w:t>
            </w:r>
            <w:r>
              <w:rPr>
                <w:rFonts w:ascii="Arial" w:eastAsia="Arial" w:hAnsi="Arial" w:cs="Arial"/>
                <w:sz w:val="20"/>
                <w:szCs w:val="20"/>
              </w:rPr>
              <w:t>ção à Tecnologia da Informação</w:t>
            </w:r>
          </w:p>
        </w:tc>
        <w:tc>
          <w:tcPr>
            <w:tcW w:w="918"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15</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Este curso cobre conceitos básicos de tecnologia da informação, incluindo hardware, software e redes. Ele fornece uma base sólida para compreender a tecnologia.</w:t>
            </w:r>
          </w:p>
        </w:tc>
        <w:tc>
          <w:tcPr>
            <w:tcW w:w="114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R$ 150,00</w:t>
            </w:r>
          </w:p>
        </w:tc>
        <w:tc>
          <w:tcPr>
            <w:tcW w:w="12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R$ 2.250,00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Analista de Negócios de TI</w:t>
            </w:r>
          </w:p>
        </w:tc>
        <w:tc>
          <w:tcPr>
            <w:tcW w:w="918"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Capacitar a equipe em prospecção, planejamento e gerenciamento de implementação de projetos de sistemas de informação e aplicativos, visando satisfazer as expectativas e necessidades tecnológicas.</w:t>
            </w:r>
          </w:p>
        </w:tc>
        <w:tc>
          <w:tcPr>
            <w:tcW w:w="114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R$ 150,00</w:t>
            </w:r>
          </w:p>
        </w:tc>
        <w:tc>
          <w:tcPr>
            <w:tcW w:w="12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R$ 2.250,00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Arquite</w:t>
            </w:r>
            <w:r>
              <w:rPr>
                <w:rFonts w:ascii="Arial" w:eastAsia="Arial" w:hAnsi="Arial" w:cs="Arial"/>
                <w:sz w:val="20"/>
                <w:szCs w:val="20"/>
              </w:rPr>
              <w:t xml:space="preserve">tura de Computadores </w:t>
            </w:r>
          </w:p>
        </w:tc>
        <w:tc>
          <w:tcPr>
            <w:tcW w:w="918"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Este curso cobre conceitos básicos de tecnologia da informação, incluindo hardware, software e redes. </w:t>
            </w:r>
            <w:r>
              <w:rPr>
                <w:rFonts w:ascii="Arial" w:eastAsia="Arial" w:hAnsi="Arial" w:cs="Arial"/>
                <w:sz w:val="20"/>
                <w:szCs w:val="20"/>
              </w:rPr>
              <w:lastRenderedPageBreak/>
              <w:t>Ele fornece uma base sólida para compreender a tecnologia.</w:t>
            </w:r>
          </w:p>
        </w:tc>
        <w:tc>
          <w:tcPr>
            <w:tcW w:w="114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98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R$ 150,00</w:t>
            </w:r>
          </w:p>
        </w:tc>
        <w:tc>
          <w:tcPr>
            <w:tcW w:w="12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R$ 3.000,00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Sistemas Operacionais (windows,linux)</w:t>
            </w:r>
          </w:p>
        </w:tc>
        <w:tc>
          <w:tcPr>
            <w:tcW w:w="918"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Os técnicos aprendem a administrar sistemas operacionais, como Windows e Linux, para resolver problemas e fornecer suporte aos usuários</w:t>
            </w:r>
          </w:p>
        </w:tc>
        <w:tc>
          <w:tcPr>
            <w:tcW w:w="114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R$ 150,00</w:t>
            </w:r>
          </w:p>
        </w:tc>
        <w:tc>
          <w:tcPr>
            <w:tcW w:w="12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R$ 3.000,00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Resolução de Problemas de Hardware e Software</w:t>
            </w:r>
          </w:p>
        </w:tc>
        <w:tc>
          <w:tcPr>
            <w:tcW w:w="918"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Técnicos de suporte são treinados para ajudar os usuários a resolver problemas com hardware e software, oferecendo atendimento ao cliente de alta qualidade e solucionando problemas.</w:t>
            </w:r>
          </w:p>
        </w:tc>
        <w:tc>
          <w:tcPr>
            <w:tcW w:w="114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R$ 150,00</w:t>
            </w:r>
          </w:p>
        </w:tc>
        <w:tc>
          <w:tcPr>
            <w:tcW w:w="12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R$ 3.000,00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Fundamentos de Redes de Computadores</w:t>
            </w:r>
          </w:p>
        </w:tc>
        <w:tc>
          <w:tcPr>
            <w:tcW w:w="918"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Essa área de conhecimento aborda como os dispositivos se conectam em redes de computadores e como elas funcionam. Isso </w:t>
            </w:r>
            <w:r>
              <w:rPr>
                <w:rFonts w:ascii="Arial" w:eastAsia="Arial" w:hAnsi="Arial" w:cs="Arial"/>
                <w:sz w:val="20"/>
                <w:szCs w:val="20"/>
              </w:rPr>
              <w:lastRenderedPageBreak/>
              <w:t>inclui conceitos de segurança de rede.</w:t>
            </w:r>
          </w:p>
        </w:tc>
        <w:tc>
          <w:tcPr>
            <w:tcW w:w="114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98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R$ 10.000,00</w:t>
            </w:r>
          </w:p>
        </w:tc>
        <w:tc>
          <w:tcPr>
            <w:tcW w:w="12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R$ 200.000,00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Segurança de Rede</w:t>
            </w:r>
          </w:p>
        </w:tc>
        <w:tc>
          <w:tcPr>
            <w:tcW w:w="918"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Essa área de conhecimento aborda como os dispositivos se conectam em redes de computadores e como elas funcionam. Isso inclui conceitos de segurança de rede.</w:t>
            </w:r>
          </w:p>
        </w:tc>
        <w:tc>
          <w:tcPr>
            <w:tcW w:w="114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R$ 10.000,00</w:t>
            </w:r>
          </w:p>
        </w:tc>
        <w:tc>
          <w:tcPr>
            <w:tcW w:w="12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R$ 200.000,00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Suporte a Aplicativos de Escritório (Microsoft Office e etc...)</w:t>
            </w:r>
          </w:p>
        </w:tc>
        <w:tc>
          <w:tcPr>
            <w:tcW w:w="918"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Técnicos de suporte são treinados para ajudar os usuários a resolver problemas com hardware e software, oferecendo atendimento ao cliente de alta qualidade e solucionando problemas.</w:t>
            </w:r>
          </w:p>
        </w:tc>
        <w:tc>
          <w:tcPr>
            <w:tcW w:w="114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R$ 10.000,00</w:t>
            </w:r>
          </w:p>
        </w:tc>
        <w:tc>
          <w:tcPr>
            <w:tcW w:w="12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R$ 200.000,00</w:t>
            </w:r>
          </w:p>
        </w:tc>
      </w:tr>
      <w:tr w:rsidR="004E4AF8" w:rsidTr="004E4AF8">
        <w:trPr>
          <w:trHeight w:val="37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Curso de ITIL</w:t>
            </w:r>
          </w:p>
        </w:tc>
        <w:tc>
          <w:tcPr>
            <w:tcW w:w="918"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w:t>
            </w:r>
            <w:r>
              <w:rPr>
                <w:rFonts w:ascii="Arial" w:eastAsia="Arial" w:hAnsi="Arial" w:cs="Arial"/>
                <w:sz w:val="20"/>
                <w:szCs w:val="20"/>
              </w:rPr>
              <w:t>ER</w:t>
            </w:r>
          </w:p>
        </w:tc>
        <w:tc>
          <w:tcPr>
            <w:tcW w:w="13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Framework para entrega de serviços de TIC</w:t>
            </w:r>
          </w:p>
        </w:tc>
        <w:tc>
          <w:tcPr>
            <w:tcW w:w="114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R$ 10.000,00</w:t>
            </w:r>
          </w:p>
        </w:tc>
        <w:tc>
          <w:tcPr>
            <w:tcW w:w="12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R$ 60.000,00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Curso de COBIT</w:t>
            </w:r>
          </w:p>
        </w:tc>
        <w:tc>
          <w:tcPr>
            <w:tcW w:w="918"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Framework para entrega de serviços de TIC</w:t>
            </w:r>
          </w:p>
        </w:tc>
        <w:tc>
          <w:tcPr>
            <w:tcW w:w="114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R$ 10.000,00</w:t>
            </w:r>
          </w:p>
        </w:tc>
        <w:tc>
          <w:tcPr>
            <w:tcW w:w="12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R$ 60.000,00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PMBOK</w:t>
            </w:r>
          </w:p>
        </w:tc>
        <w:tc>
          <w:tcPr>
            <w:tcW w:w="918"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Possuir a certificação PMP® traz reconhecimento </w:t>
            </w:r>
            <w:r>
              <w:rPr>
                <w:rFonts w:ascii="Arial" w:eastAsia="Arial" w:hAnsi="Arial" w:cs="Arial"/>
                <w:sz w:val="20"/>
                <w:szCs w:val="20"/>
              </w:rPr>
              <w:lastRenderedPageBreak/>
              <w:t>profissional, maiores e melhores oportunidades de trabalho e conexão com uma comunidade internacional de gerentes de projetos.</w:t>
            </w:r>
          </w:p>
        </w:tc>
        <w:tc>
          <w:tcPr>
            <w:tcW w:w="114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98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R$ 1.200,00</w:t>
            </w:r>
          </w:p>
        </w:tc>
        <w:tc>
          <w:tcPr>
            <w:tcW w:w="12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R$ 7.200,00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Gerenciamento de Incidentes</w:t>
            </w:r>
          </w:p>
        </w:tc>
        <w:tc>
          <w:tcPr>
            <w:tcW w:w="918"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Os técnicos podem ser envolvidos em projetos de TI. Este treinamento aborda como gerenciarincidentes de maneira mais eficaz, utilizando metodologias como PMI ou Agile.</w:t>
            </w:r>
          </w:p>
        </w:tc>
        <w:tc>
          <w:tcPr>
            <w:tcW w:w="114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R$ 1.200,00</w:t>
            </w:r>
          </w:p>
        </w:tc>
        <w:tc>
          <w:tcPr>
            <w:tcW w:w="12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R$ 24.000,00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Gerenciamento de Mudanças</w:t>
            </w:r>
          </w:p>
        </w:tc>
        <w:tc>
          <w:tcPr>
            <w:tcW w:w="918"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0</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Os técnicos podem ser envolvidos em projetos de TI. Este treinamento aborda como gerenciar mudanças eficazmente, utilizando metodologias como PMI ou Agile.</w:t>
            </w:r>
          </w:p>
        </w:tc>
        <w:tc>
          <w:tcPr>
            <w:tcW w:w="114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R$ 1.200,00</w:t>
            </w:r>
          </w:p>
        </w:tc>
        <w:tc>
          <w:tcPr>
            <w:tcW w:w="12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R$ 24.000,00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Manutenção de Hardware de Computadores</w:t>
            </w:r>
          </w:p>
        </w:tc>
        <w:tc>
          <w:tcPr>
            <w:tcW w:w="918"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Isso envolve a manutenção e reparo de hardware de computadores, dispositivos eletrônicos e o </w:t>
            </w:r>
            <w:r>
              <w:rPr>
                <w:rFonts w:ascii="Arial" w:eastAsia="Arial" w:hAnsi="Arial" w:cs="Arial"/>
                <w:sz w:val="20"/>
                <w:szCs w:val="20"/>
              </w:rPr>
              <w:lastRenderedPageBreak/>
              <w:t>gerenciamento de ativos de TI.</w:t>
            </w:r>
          </w:p>
        </w:tc>
        <w:tc>
          <w:tcPr>
            <w:tcW w:w="114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98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R$ 1.200,00</w:t>
            </w:r>
          </w:p>
        </w:tc>
        <w:tc>
          <w:tcPr>
            <w:tcW w:w="12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R$ 24.000,00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 xml:space="preserve">Gerenciamento de Ativos de TI </w:t>
            </w:r>
          </w:p>
        </w:tc>
        <w:tc>
          <w:tcPr>
            <w:tcW w:w="918"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Os técnicos podem ser envolvidos em projetos de TI. Este treinamento aborda como gerenciar ativos eficazmente, utilizando metodologias como PMI ou Agile.</w:t>
            </w:r>
          </w:p>
        </w:tc>
        <w:tc>
          <w:tcPr>
            <w:tcW w:w="114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R$ 1.200,00</w:t>
            </w:r>
          </w:p>
        </w:tc>
        <w:tc>
          <w:tcPr>
            <w:tcW w:w="12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R$ 12.000,00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Técnicas de Atendimento (Cliente, Trabalho em Equipe, Comunicação Interpessoal</w:t>
            </w:r>
            <w:r>
              <w:rPr>
                <w:rFonts w:ascii="Arial" w:eastAsia="Arial" w:hAnsi="Arial" w:cs="Arial"/>
                <w:sz w:val="20"/>
                <w:szCs w:val="20"/>
              </w:rPr>
              <w:br/>
              <w:t>Gerenciamento de Conflitos, Comunicação Eficaz</w:t>
            </w:r>
          </w:p>
        </w:tc>
        <w:tc>
          <w:tcPr>
            <w:tcW w:w="918"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Técnicos precisam de habilidades de comunicação, trabalho em equipe e resolução de conflitos para interagir eficazmente com os usuários e colegas.</w:t>
            </w:r>
          </w:p>
        </w:tc>
        <w:tc>
          <w:tcPr>
            <w:tcW w:w="114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R$ 1.200,00</w:t>
            </w:r>
          </w:p>
        </w:tc>
        <w:tc>
          <w:tcPr>
            <w:tcW w:w="12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R$ 24.000,00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Inglês Técnico (básico,intermediário e avançado)</w:t>
            </w:r>
          </w:p>
        </w:tc>
        <w:tc>
          <w:tcPr>
            <w:tcW w:w="918"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Técnicos precisam de habilidades de comunicação, trabalho em equipe e resolução de conflitos para interagir eficazmente com os usuários e colegas.</w:t>
            </w:r>
          </w:p>
        </w:tc>
        <w:tc>
          <w:tcPr>
            <w:tcW w:w="114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R$ 300,00</w:t>
            </w:r>
          </w:p>
        </w:tc>
        <w:tc>
          <w:tcPr>
            <w:tcW w:w="12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R$ 6.000,00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Lei Geral de Proteção de Dados (LGPD) - Conhecendo e entendendo seus impactos</w:t>
            </w:r>
          </w:p>
        </w:tc>
        <w:tc>
          <w:tcPr>
            <w:tcW w:w="918"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6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Entender o que é a Lei Geral de Proteção de</w:t>
            </w:r>
            <w:r>
              <w:rPr>
                <w:rFonts w:ascii="Arial" w:eastAsia="Arial" w:hAnsi="Arial" w:cs="Arial"/>
                <w:sz w:val="20"/>
                <w:szCs w:val="20"/>
              </w:rPr>
              <w:br/>
              <w:t xml:space="preserve">Dados (LGPD) e como ela impactará nas </w:t>
            </w:r>
            <w:r>
              <w:rPr>
                <w:rFonts w:ascii="Arial" w:eastAsia="Arial" w:hAnsi="Arial" w:cs="Arial"/>
                <w:sz w:val="20"/>
                <w:szCs w:val="20"/>
              </w:rPr>
              <w:lastRenderedPageBreak/>
              <w:t>relações digitais das pessoas e empresas</w:t>
            </w:r>
          </w:p>
        </w:tc>
        <w:tc>
          <w:tcPr>
            <w:tcW w:w="1147" w:type="dxa"/>
            <w:shd w:val="clear" w:color="auto" w:fill="FFFF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Média</w:t>
            </w:r>
          </w:p>
        </w:tc>
        <w:tc>
          <w:tcPr>
            <w:tcW w:w="98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R$ 9.803,92</w:t>
            </w:r>
          </w:p>
        </w:tc>
        <w:tc>
          <w:tcPr>
            <w:tcW w:w="121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R$ 58.823,52</w:t>
            </w:r>
          </w:p>
        </w:tc>
      </w:tr>
      <w:tr w:rsidR="004E4AF8" w:rsidTr="004E4AF8">
        <w:trPr>
          <w:trHeight w:val="300"/>
        </w:trPr>
        <w:tc>
          <w:tcPr>
            <w:cnfStyle w:val="001000000000" w:firstRow="0" w:lastRow="0" w:firstColumn="1" w:lastColumn="0" w:oddVBand="0" w:evenVBand="0" w:oddHBand="0" w:evenHBand="0" w:firstRowFirstColumn="0" w:firstRowLastColumn="0" w:lastRowFirstColumn="0" w:lastRowLastColumn="0"/>
            <w:tcW w:w="2247" w:type="dxa"/>
          </w:tcPr>
          <w:p w:rsidR="004E4AF8" w:rsidRDefault="00D62302">
            <w:pPr>
              <w:jc w:val="left"/>
              <w:rPr>
                <w:rFonts w:ascii="Arial" w:eastAsia="Arial" w:hAnsi="Arial" w:cs="Arial"/>
                <w:sz w:val="20"/>
                <w:szCs w:val="20"/>
              </w:rPr>
            </w:pPr>
            <w:r>
              <w:rPr>
                <w:rFonts w:ascii="Arial" w:eastAsia="Arial" w:hAnsi="Arial" w:cs="Arial"/>
                <w:sz w:val="20"/>
                <w:szCs w:val="20"/>
              </w:rPr>
              <w:t>Plataforma de Cursos alura</w:t>
            </w:r>
          </w:p>
        </w:tc>
        <w:tc>
          <w:tcPr>
            <w:tcW w:w="918"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34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w:t>
            </w:r>
          </w:p>
        </w:tc>
        <w:tc>
          <w:tcPr>
            <w:tcW w:w="161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EAD/Presencial</w:t>
            </w:r>
          </w:p>
        </w:tc>
        <w:tc>
          <w:tcPr>
            <w:tcW w:w="794"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 Definir</w:t>
            </w:r>
          </w:p>
        </w:tc>
        <w:tc>
          <w:tcPr>
            <w:tcW w:w="1973"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Plataforma de cursos em diversas áres de conhecimento d TIC</w:t>
            </w:r>
          </w:p>
        </w:tc>
        <w:tc>
          <w:tcPr>
            <w:tcW w:w="114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98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GESER</w:t>
            </w:r>
          </w:p>
        </w:tc>
        <w:tc>
          <w:tcPr>
            <w:tcW w:w="120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Orçamento de 2024</w:t>
            </w:r>
          </w:p>
        </w:tc>
        <w:tc>
          <w:tcPr>
            <w:tcW w:w="1106"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R$ 250,00</w:t>
            </w:r>
          </w:p>
        </w:tc>
        <w:tc>
          <w:tcPr>
            <w:tcW w:w="1217" w:type="dxa"/>
          </w:tcPr>
          <w:p w:rsidR="004E4AF8" w:rsidRDefault="00D62302">
            <w:pPr>
              <w:keepNext/>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R$ 5.000,00</w:t>
            </w:r>
          </w:p>
        </w:tc>
      </w:tr>
    </w:tbl>
    <w:p w:rsidR="004E4AF8" w:rsidRDefault="00D62302">
      <w:pPr>
        <w:pStyle w:val="Ttulo5"/>
        <w:spacing w:after="200" w:line="240" w:lineRule="auto"/>
      </w:pPr>
      <w:bookmarkStart w:id="20" w:name="_heading=h.z337ya" w:colFirst="0" w:colLast="0"/>
      <w:bookmarkEnd w:id="20"/>
      <w:r>
        <w:t>Tabela 6 - Ações de Capacitação/Gerência de Serviços de TI</w:t>
      </w:r>
    </w:p>
    <w:p w:rsidR="004E4AF8" w:rsidRDefault="00D62302">
      <w:pPr>
        <w:pStyle w:val="Ttulo3"/>
        <w:numPr>
          <w:ilvl w:val="2"/>
          <w:numId w:val="5"/>
        </w:numPr>
      </w:pPr>
      <w:bookmarkStart w:id="21" w:name="_heading=h.3j2qqm3" w:colFirst="0" w:colLast="0"/>
      <w:bookmarkEnd w:id="21"/>
      <w:r>
        <w:t>DITEC (Governança)</w:t>
      </w:r>
    </w:p>
    <w:tbl>
      <w:tblPr>
        <w:tblStyle w:val="afffffffffffffff8"/>
        <w:tblW w:w="145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12"/>
        <w:gridCol w:w="1189"/>
        <w:gridCol w:w="1609"/>
        <w:gridCol w:w="1537"/>
        <w:gridCol w:w="1173"/>
        <w:gridCol w:w="3267"/>
        <w:gridCol w:w="1457"/>
        <w:gridCol w:w="1190"/>
        <w:gridCol w:w="1026"/>
      </w:tblGrid>
      <w:tr w:rsidR="004E4AF8" w:rsidTr="004E4AF8">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12" w:type="dxa"/>
            <w:vAlign w:val="center"/>
          </w:tcPr>
          <w:p w:rsidR="004E4AF8" w:rsidRDefault="00D62302">
            <w:pPr>
              <w:jc w:val="center"/>
              <w:rPr>
                <w:rFonts w:ascii="Arial" w:eastAsia="Arial" w:hAnsi="Arial" w:cs="Arial"/>
              </w:rPr>
            </w:pPr>
            <w:r>
              <w:rPr>
                <w:rFonts w:ascii="Arial" w:eastAsia="Arial" w:hAnsi="Arial" w:cs="Arial"/>
              </w:rPr>
              <w:t>Nome do Curso</w:t>
            </w:r>
          </w:p>
        </w:tc>
        <w:tc>
          <w:tcPr>
            <w:tcW w:w="1189"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Público Alvo</w:t>
            </w:r>
          </w:p>
        </w:tc>
        <w:tc>
          <w:tcPr>
            <w:tcW w:w="1609"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Arial" w:eastAsia="Arial" w:hAnsi="Arial" w:cs="Arial"/>
                <w:sz w:val="22"/>
                <w:szCs w:val="22"/>
              </w:rPr>
              <w:t>Participante</w:t>
            </w:r>
            <w:r>
              <w:rPr>
                <w:rFonts w:ascii="Arial" w:eastAsia="Arial" w:hAnsi="Arial" w:cs="Arial"/>
              </w:rPr>
              <w:t>s</w:t>
            </w:r>
          </w:p>
        </w:tc>
        <w:tc>
          <w:tcPr>
            <w:tcW w:w="1537"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Modalidade</w:t>
            </w:r>
          </w:p>
        </w:tc>
        <w:tc>
          <w:tcPr>
            <w:tcW w:w="1173"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Turno</w:t>
            </w:r>
          </w:p>
        </w:tc>
        <w:tc>
          <w:tcPr>
            <w:tcW w:w="3267"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Resultados Esperados</w:t>
            </w:r>
          </w:p>
        </w:tc>
        <w:tc>
          <w:tcPr>
            <w:tcW w:w="1457"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Criticidade</w:t>
            </w:r>
          </w:p>
        </w:tc>
        <w:tc>
          <w:tcPr>
            <w:tcW w:w="1190"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Custo Previsto</w:t>
            </w:r>
          </w:p>
        </w:tc>
        <w:tc>
          <w:tcPr>
            <w:tcW w:w="1026"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Valor</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t>Auditoria de Governança e Gestão de TIC – COBIT e COSO (EaD)</w:t>
            </w:r>
          </w:p>
        </w:tc>
        <w:tc>
          <w:tcPr>
            <w:tcW w:w="118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Identificar os modelos envolvidos em processos com foco na gestão de riscos e auditoria COBIT e COSO;</w:t>
            </w:r>
            <w:r>
              <w:rPr>
                <w:rFonts w:ascii="Times New Roman" w:eastAsia="Times New Roman" w:hAnsi="Times New Roman" w:cs="Times New Roman"/>
                <w:sz w:val="22"/>
                <w:szCs w:val="22"/>
              </w:rPr>
              <w:br/>
              <w:t>Reconhecer os aspectos e processos básicos para uma adequada de auditoria de governança de TIC no judiciário;</w:t>
            </w:r>
            <w:r>
              <w:rPr>
                <w:rFonts w:ascii="Times New Roman" w:eastAsia="Times New Roman" w:hAnsi="Times New Roman" w:cs="Times New Roman"/>
                <w:sz w:val="22"/>
                <w:szCs w:val="22"/>
              </w:rPr>
              <w:br/>
            </w:r>
            <w:r>
              <w:rPr>
                <w:rFonts w:ascii="Times New Roman" w:eastAsia="Times New Roman" w:hAnsi="Times New Roman" w:cs="Times New Roman"/>
                <w:sz w:val="22"/>
                <w:szCs w:val="22"/>
              </w:rPr>
              <w:t>Compreender o embasamento teórico e aplicar a IN 84/2020 do TCU e Resoluções 308/2020 e 309/2020 do CNJ;</w:t>
            </w:r>
            <w:r>
              <w:rPr>
                <w:rFonts w:ascii="Times New Roman" w:eastAsia="Times New Roman" w:hAnsi="Times New Roman" w:cs="Times New Roman"/>
                <w:sz w:val="22"/>
                <w:szCs w:val="22"/>
              </w:rPr>
              <w:br/>
              <w:t>Conhecer as Resoluções 308/2020 e 309/2020;</w:t>
            </w:r>
            <w:r>
              <w:rPr>
                <w:rFonts w:ascii="Times New Roman" w:eastAsia="Times New Roman" w:hAnsi="Times New Roman" w:cs="Times New Roman"/>
                <w:sz w:val="22"/>
                <w:szCs w:val="22"/>
              </w:rPr>
              <w:br/>
              <w:t>Conhecer a IN 84/2020 do TCU.</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190"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R$ 4.400,00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t>Elaboração de PDTI (EaD)</w:t>
            </w:r>
          </w:p>
        </w:tc>
        <w:tc>
          <w:tcPr>
            <w:tcW w:w="118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Desenvolver o plano diretor de TI (PDTI) para sua organização;</w:t>
            </w:r>
            <w:r>
              <w:rPr>
                <w:rFonts w:ascii="Times New Roman" w:eastAsia="Times New Roman" w:hAnsi="Times New Roman" w:cs="Times New Roman"/>
                <w:sz w:val="22"/>
                <w:szCs w:val="22"/>
              </w:rPr>
              <w:br/>
              <w:t xml:space="preserve">Compreender os aspectos e </w:t>
            </w:r>
            <w:r>
              <w:rPr>
                <w:rFonts w:ascii="Times New Roman" w:eastAsia="Times New Roman" w:hAnsi="Times New Roman" w:cs="Times New Roman"/>
                <w:sz w:val="22"/>
                <w:szCs w:val="22"/>
              </w:rPr>
              <w:lastRenderedPageBreak/>
              <w:t>processos básicos de implementação do PDTI em organizações públicas e privadas.</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190"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R$ 7.680,00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t>Fundamentos de gestão de contratos</w:t>
            </w:r>
          </w:p>
        </w:tc>
        <w:tc>
          <w:tcPr>
            <w:tcW w:w="118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Conhecer os principais conceitos e etapas que compõem a gestão de contratos administrativos;</w:t>
            </w:r>
            <w:r>
              <w:rPr>
                <w:rFonts w:ascii="Times New Roman" w:eastAsia="Times New Roman" w:hAnsi="Times New Roman" w:cs="Times New Roman"/>
                <w:sz w:val="22"/>
                <w:szCs w:val="22"/>
              </w:rPr>
              <w:br/>
              <w:t>Conhecer as principais Instruções Normativas e Leis que regem a gestão de contratos;</w:t>
            </w:r>
            <w:r>
              <w:rPr>
                <w:rFonts w:ascii="Times New Roman" w:eastAsia="Times New Roman" w:hAnsi="Times New Roman" w:cs="Times New Roman"/>
                <w:sz w:val="22"/>
                <w:szCs w:val="22"/>
              </w:rPr>
              <w:br/>
              <w:t>Promover as possíveis alterações contratuais necessárias, de aco</w:t>
            </w:r>
            <w:r>
              <w:rPr>
                <w:rFonts w:ascii="Times New Roman" w:eastAsia="Times New Roman" w:hAnsi="Times New Roman" w:cs="Times New Roman"/>
                <w:sz w:val="22"/>
                <w:szCs w:val="22"/>
              </w:rPr>
              <w:t>rdo com os limites fixados na legislação;</w:t>
            </w:r>
            <w:r>
              <w:rPr>
                <w:rFonts w:ascii="Times New Roman" w:eastAsia="Times New Roman" w:hAnsi="Times New Roman" w:cs="Times New Roman"/>
                <w:sz w:val="22"/>
                <w:szCs w:val="22"/>
              </w:rPr>
              <w:br/>
              <w:t>Promover o equilíbrio econômico financeiro do contrato e do órgão ou entidade a que compete;</w:t>
            </w:r>
            <w:r>
              <w:rPr>
                <w:rFonts w:ascii="Times New Roman" w:eastAsia="Times New Roman" w:hAnsi="Times New Roman" w:cs="Times New Roman"/>
                <w:sz w:val="22"/>
                <w:szCs w:val="22"/>
              </w:rPr>
              <w:br/>
              <w:t>Identificar os trâmites para pagamentos nos contratos administrativos;</w:t>
            </w:r>
            <w:r>
              <w:rPr>
                <w:rFonts w:ascii="Times New Roman" w:eastAsia="Times New Roman" w:hAnsi="Times New Roman" w:cs="Times New Roman"/>
                <w:sz w:val="22"/>
                <w:szCs w:val="22"/>
              </w:rPr>
              <w:br/>
              <w:t>Identificar as causas de nulidade ou rescisão do c</w:t>
            </w:r>
            <w:r>
              <w:rPr>
                <w:rFonts w:ascii="Times New Roman" w:eastAsia="Times New Roman" w:hAnsi="Times New Roman" w:cs="Times New Roman"/>
                <w:sz w:val="22"/>
                <w:szCs w:val="22"/>
              </w:rPr>
              <w:t>ontrato administrativo;</w:t>
            </w:r>
            <w:r>
              <w:rPr>
                <w:rFonts w:ascii="Times New Roman" w:eastAsia="Times New Roman" w:hAnsi="Times New Roman" w:cs="Times New Roman"/>
                <w:sz w:val="22"/>
                <w:szCs w:val="22"/>
              </w:rPr>
              <w:br/>
              <w:t>Identificar as sanções administrativas aplicáveis pelo descumprimento do contrato.</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190"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R$ 4.000,00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t>Gerenciamento de Serviços de TI (EaD)</w:t>
            </w:r>
          </w:p>
        </w:tc>
        <w:tc>
          <w:tcPr>
            <w:tcW w:w="118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Resolver problemas e tomar decisões relacionadas aos processos de gerenciamento de serviços de TI;</w:t>
            </w:r>
            <w:r>
              <w:rPr>
                <w:rFonts w:ascii="Times New Roman" w:eastAsia="Times New Roman" w:hAnsi="Times New Roman" w:cs="Times New Roman"/>
                <w:sz w:val="22"/>
                <w:szCs w:val="22"/>
              </w:rPr>
              <w:br/>
              <w:t xml:space="preserve">Utilizar padrões e boas práticas reconhecidamente eficazes ao gerenciamento de serviços de TI, </w:t>
            </w:r>
            <w:r>
              <w:rPr>
                <w:rFonts w:ascii="Times New Roman" w:eastAsia="Times New Roman" w:hAnsi="Times New Roman" w:cs="Times New Roman"/>
                <w:sz w:val="22"/>
                <w:szCs w:val="22"/>
              </w:rPr>
              <w:lastRenderedPageBreak/>
              <w:t>com enfoque na ITIL® e ISO 20000.</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190"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R$ 7.680,00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t>Gestão de Continuidade de Negócios (EaD)</w:t>
            </w:r>
          </w:p>
        </w:tc>
        <w:tc>
          <w:tcPr>
            <w:tcW w:w="118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Compreender a importância da continuidade dos negócios;</w:t>
            </w:r>
            <w:r>
              <w:rPr>
                <w:rFonts w:ascii="Times New Roman" w:eastAsia="Times New Roman" w:hAnsi="Times New Roman" w:cs="Times New Roman"/>
                <w:sz w:val="22"/>
                <w:szCs w:val="22"/>
              </w:rPr>
              <w:br/>
              <w:t>Compreender e aplicar a Norma Complementar nº 06/IN01/DSIC/GSIPR, (Estabelece Diretrizes para Gestão de Continuidade de Negó</w:t>
            </w:r>
            <w:r>
              <w:rPr>
                <w:rFonts w:ascii="Times New Roman" w:eastAsia="Times New Roman" w:hAnsi="Times New Roman" w:cs="Times New Roman"/>
                <w:sz w:val="22"/>
                <w:szCs w:val="22"/>
              </w:rPr>
              <w:t>cios, nos aspectos relacionados à Segurança da Informação e Comunicações, nos órgãos e entidades da Administração Pública Federal, direta e indireta – APF);</w:t>
            </w:r>
            <w:r>
              <w:rPr>
                <w:rFonts w:ascii="Times New Roman" w:eastAsia="Times New Roman" w:hAnsi="Times New Roman" w:cs="Times New Roman"/>
                <w:sz w:val="22"/>
                <w:szCs w:val="22"/>
              </w:rPr>
              <w:br/>
              <w:t>Implementar a GCN;</w:t>
            </w:r>
            <w:r>
              <w:rPr>
                <w:rFonts w:ascii="Times New Roman" w:eastAsia="Times New Roman" w:hAnsi="Times New Roman" w:cs="Times New Roman"/>
                <w:sz w:val="22"/>
                <w:szCs w:val="22"/>
              </w:rPr>
              <w:br/>
              <w:t>Desenvolver um plano de Continuidade de Negócios;</w:t>
            </w:r>
            <w:r>
              <w:rPr>
                <w:rFonts w:ascii="Times New Roman" w:eastAsia="Times New Roman" w:hAnsi="Times New Roman" w:cs="Times New Roman"/>
                <w:sz w:val="22"/>
                <w:szCs w:val="22"/>
              </w:rPr>
              <w:br/>
              <w:t>Realizar uma Análise de Impact</w:t>
            </w:r>
            <w:r>
              <w:rPr>
                <w:rFonts w:ascii="Times New Roman" w:eastAsia="Times New Roman" w:hAnsi="Times New Roman" w:cs="Times New Roman"/>
                <w:sz w:val="22"/>
                <w:szCs w:val="22"/>
              </w:rPr>
              <w:t>o de Negócios (BIA).</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190"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R$ 12.000,00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t>Gestão de Riscos de Segurança da Informação e Privacidade (EaD)</w:t>
            </w:r>
          </w:p>
        </w:tc>
        <w:tc>
          <w:tcPr>
            <w:tcW w:w="118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Propor controles de segurança da informação e privacidade para tratar e mitigar os riscos das organizações, tendo como base as vulnerabilidades, riscos identificados e impactos na segurança da organização;</w:t>
            </w:r>
            <w:r>
              <w:rPr>
                <w:rFonts w:ascii="Times New Roman" w:eastAsia="Times New Roman" w:hAnsi="Times New Roman" w:cs="Times New Roman"/>
                <w:sz w:val="22"/>
                <w:szCs w:val="22"/>
              </w:rPr>
              <w:br/>
              <w:t>Identificar ameaças, vulnerabilidades e riscos ass</w:t>
            </w:r>
            <w:r>
              <w:rPr>
                <w:rFonts w:ascii="Times New Roman" w:eastAsia="Times New Roman" w:hAnsi="Times New Roman" w:cs="Times New Roman"/>
                <w:sz w:val="22"/>
                <w:szCs w:val="22"/>
              </w:rPr>
              <w:t>ociados à segurança da informação;</w:t>
            </w:r>
            <w:r>
              <w:rPr>
                <w:rFonts w:ascii="Times New Roman" w:eastAsia="Times New Roman" w:hAnsi="Times New Roman" w:cs="Times New Roman"/>
                <w:sz w:val="22"/>
                <w:szCs w:val="22"/>
              </w:rPr>
              <w:br/>
              <w:t xml:space="preserve">Aplicar na sua organização a metodologia de gestão e análise de riscos da norma NBR ISO/IEC </w:t>
            </w:r>
            <w:r>
              <w:rPr>
                <w:rFonts w:ascii="Times New Roman" w:eastAsia="Times New Roman" w:hAnsi="Times New Roman" w:cs="Times New Roman"/>
                <w:sz w:val="22"/>
                <w:szCs w:val="22"/>
              </w:rPr>
              <w:lastRenderedPageBreak/>
              <w:t>27005;</w:t>
            </w:r>
            <w:r>
              <w:rPr>
                <w:rFonts w:ascii="Times New Roman" w:eastAsia="Times New Roman" w:hAnsi="Times New Roman" w:cs="Times New Roman"/>
                <w:sz w:val="22"/>
                <w:szCs w:val="22"/>
              </w:rPr>
              <w:br/>
              <w:t>Propor planos de ação para melhoria da segurança da informação, usufruindo das competências listadas e de aspectos normati</w:t>
            </w:r>
            <w:r>
              <w:rPr>
                <w:rFonts w:ascii="Times New Roman" w:eastAsia="Times New Roman" w:hAnsi="Times New Roman" w:cs="Times New Roman"/>
                <w:sz w:val="22"/>
                <w:szCs w:val="22"/>
              </w:rPr>
              <w:t>vos e de legislação vigentes.</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190"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R$ 10.240,00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t>Planejamento de Contratações de TI no Judiciário (EaD)</w:t>
            </w:r>
          </w:p>
        </w:tc>
        <w:tc>
          <w:tcPr>
            <w:tcW w:w="118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Executar e gerenciar a aplicação de recursos públicos nos processos de compras e contratação de serviços de TI necessários aos objetivos dos projetos e atividades públicas, de acordo com os marcos legais e a jurisprudência do Tribunal de Contas da União;</w:t>
            </w:r>
            <w:r>
              <w:rPr>
                <w:rFonts w:ascii="Times New Roman" w:eastAsia="Times New Roman" w:hAnsi="Times New Roman" w:cs="Times New Roman"/>
                <w:sz w:val="22"/>
                <w:szCs w:val="22"/>
              </w:rPr>
              <w:br/>
              <w:t>E</w:t>
            </w:r>
            <w:r>
              <w:rPr>
                <w:rFonts w:ascii="Times New Roman" w:eastAsia="Times New Roman" w:hAnsi="Times New Roman" w:cs="Times New Roman"/>
                <w:sz w:val="22"/>
                <w:szCs w:val="22"/>
              </w:rPr>
              <w:t>ntender os aspectos e processos básicos para uma adequada contratação de serviços de TI para órgãos submetidos ao controle administrativo e financeiro do CNJ;</w:t>
            </w:r>
            <w:r>
              <w:rPr>
                <w:rFonts w:ascii="Times New Roman" w:eastAsia="Times New Roman" w:hAnsi="Times New Roman" w:cs="Times New Roman"/>
                <w:sz w:val="22"/>
                <w:szCs w:val="22"/>
              </w:rPr>
              <w:br/>
              <w:t>Entender os aspectos e processos básicos para uma adequada contratação de serviços de TI para org</w:t>
            </w:r>
            <w:r>
              <w:rPr>
                <w:rFonts w:ascii="Times New Roman" w:eastAsia="Times New Roman" w:hAnsi="Times New Roman" w:cs="Times New Roman"/>
                <w:sz w:val="22"/>
                <w:szCs w:val="22"/>
              </w:rPr>
              <w:t>anizações da administração pública federal;</w:t>
            </w:r>
            <w:r>
              <w:rPr>
                <w:rFonts w:ascii="Times New Roman" w:eastAsia="Times New Roman" w:hAnsi="Times New Roman" w:cs="Times New Roman"/>
                <w:sz w:val="22"/>
                <w:szCs w:val="22"/>
              </w:rPr>
              <w:br/>
              <w:t>Compreender a aplicação da IN01 nas organizações públicas, resoluções e demais normas e leis.</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190"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R$ 11.520,00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t>Planejamento e Gestão Estratégica de TI (EaD)</w:t>
            </w:r>
          </w:p>
        </w:tc>
        <w:tc>
          <w:tcPr>
            <w:tcW w:w="118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Analisar os impactos estratégicos de TI nos negócios;</w:t>
            </w:r>
            <w:r>
              <w:rPr>
                <w:rFonts w:ascii="Times New Roman" w:eastAsia="Times New Roman" w:hAnsi="Times New Roman" w:cs="Times New Roman"/>
                <w:sz w:val="22"/>
                <w:szCs w:val="22"/>
              </w:rPr>
              <w:br/>
              <w:t xml:space="preserve">Entender os aspectos e processos </w:t>
            </w:r>
            <w:r>
              <w:rPr>
                <w:rFonts w:ascii="Times New Roman" w:eastAsia="Times New Roman" w:hAnsi="Times New Roman" w:cs="Times New Roman"/>
                <w:sz w:val="22"/>
                <w:szCs w:val="22"/>
              </w:rPr>
              <w:lastRenderedPageBreak/>
              <w:t>básicos de planejamento e gestão estratégica de TI nas organizações públicas e privadas.</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190"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R$ 6.000,00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t>LGPD na Prática (EaD)</w:t>
            </w:r>
          </w:p>
        </w:tc>
        <w:tc>
          <w:tcPr>
            <w:tcW w:w="118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Elaborar, gerenciar e participar ativamente da elaboração do plano de adequação à LGPD em sua organização;</w:t>
            </w:r>
            <w:r>
              <w:rPr>
                <w:rFonts w:ascii="Times New Roman" w:eastAsia="Times New Roman" w:hAnsi="Times New Roman" w:cs="Times New Roman"/>
                <w:sz w:val="22"/>
                <w:szCs w:val="22"/>
              </w:rPr>
              <w:br/>
              <w:t>Gerenciar, participar ou apoiar a adequação da LGPD em sua organização;</w:t>
            </w:r>
            <w:r>
              <w:rPr>
                <w:rFonts w:ascii="Times New Roman" w:eastAsia="Times New Roman" w:hAnsi="Times New Roman" w:cs="Times New Roman"/>
                <w:sz w:val="22"/>
                <w:szCs w:val="22"/>
              </w:rPr>
              <w:br/>
              <w:t>Ser referência nos guias operacionais da LGPD da Secretaria de Governo Digita</w:t>
            </w:r>
            <w:r>
              <w:rPr>
                <w:rFonts w:ascii="Times New Roman" w:eastAsia="Times New Roman" w:hAnsi="Times New Roman" w:cs="Times New Roman"/>
                <w:sz w:val="22"/>
                <w:szCs w:val="22"/>
              </w:rPr>
              <w:t>l.</w:t>
            </w:r>
            <w:r>
              <w:rPr>
                <w:rFonts w:ascii="Times New Roman" w:eastAsia="Times New Roman" w:hAnsi="Times New Roman" w:cs="Times New Roman"/>
                <w:sz w:val="22"/>
                <w:szCs w:val="22"/>
              </w:rPr>
              <w:br/>
              <w:t>Elaborar a análise de riscos de Segurança da Informação e Privacidade;</w:t>
            </w:r>
            <w:r>
              <w:rPr>
                <w:rFonts w:ascii="Times New Roman" w:eastAsia="Times New Roman" w:hAnsi="Times New Roman" w:cs="Times New Roman"/>
                <w:sz w:val="22"/>
                <w:szCs w:val="22"/>
              </w:rPr>
              <w:br/>
              <w:t>Elaborar o Relatório de Impacto à Proteção de Dados Pessoais;</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190"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R$ 5.600,00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t>Design Thinking EaD</w:t>
            </w:r>
          </w:p>
        </w:tc>
        <w:tc>
          <w:tcPr>
            <w:tcW w:w="118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Inovar com uma das abordagens mais utilizadas no mercado;</w:t>
            </w:r>
            <w:r>
              <w:rPr>
                <w:rFonts w:ascii="Times New Roman" w:eastAsia="Times New Roman" w:hAnsi="Times New Roman" w:cs="Times New Roman"/>
                <w:sz w:val="22"/>
                <w:szCs w:val="22"/>
              </w:rPr>
              <w:br/>
              <w:t>Explicar a abordagem Design Thinking e como ele beneficia processos de inovação;</w:t>
            </w:r>
            <w:r>
              <w:rPr>
                <w:rFonts w:ascii="Times New Roman" w:eastAsia="Times New Roman" w:hAnsi="Times New Roman" w:cs="Times New Roman"/>
                <w:sz w:val="22"/>
                <w:szCs w:val="22"/>
              </w:rPr>
              <w:br/>
              <w:t>Diferenciar mindsets necessários para cada fase do Design Thinking;</w:t>
            </w:r>
            <w:r>
              <w:rPr>
                <w:rFonts w:ascii="Times New Roman" w:eastAsia="Times New Roman" w:hAnsi="Times New Roman" w:cs="Times New Roman"/>
                <w:sz w:val="22"/>
                <w:szCs w:val="22"/>
              </w:rPr>
              <w:br/>
              <w:t>Utilizar ferramentas online de inovação;</w:t>
            </w:r>
            <w:r>
              <w:rPr>
                <w:rFonts w:ascii="Times New Roman" w:eastAsia="Times New Roman" w:hAnsi="Times New Roman" w:cs="Times New Roman"/>
                <w:sz w:val="22"/>
                <w:szCs w:val="22"/>
              </w:rPr>
              <w:br/>
              <w:t>Conduzir</w:t>
            </w:r>
            <w:r>
              <w:rPr>
                <w:rFonts w:ascii="Times New Roman" w:eastAsia="Times New Roman" w:hAnsi="Times New Roman" w:cs="Times New Roman"/>
                <w:sz w:val="22"/>
                <w:szCs w:val="22"/>
              </w:rPr>
              <w:t xml:space="preserve"> dinâmicas com princípios de inovação;</w:t>
            </w:r>
            <w:r>
              <w:rPr>
                <w:rFonts w:ascii="Times New Roman" w:eastAsia="Times New Roman" w:hAnsi="Times New Roman" w:cs="Times New Roman"/>
                <w:sz w:val="22"/>
                <w:szCs w:val="22"/>
              </w:rPr>
              <w:br/>
              <w:t>Utilizar ferramentas online de colaboração.</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190"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R$ 5.600,00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lastRenderedPageBreak/>
              <w:t>Gestão Ágil de Projetos EAD (parceria oficial DC-Dinsmorecompass)</w:t>
            </w:r>
          </w:p>
        </w:tc>
        <w:tc>
          <w:tcPr>
            <w:tcW w:w="118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Compreender os principais conceitos relacionados à gestão de projetos;</w:t>
            </w:r>
            <w:r>
              <w:rPr>
                <w:rFonts w:ascii="Times New Roman" w:eastAsia="Times New Roman" w:hAnsi="Times New Roman" w:cs="Times New Roman"/>
                <w:sz w:val="22"/>
                <w:szCs w:val="22"/>
              </w:rPr>
              <w:br/>
              <w:t>Entender a relação entre os projetos e a estratégia organizacional;</w:t>
            </w:r>
            <w:r>
              <w:rPr>
                <w:rFonts w:ascii="Times New Roman" w:eastAsia="Times New Roman" w:hAnsi="Times New Roman" w:cs="Times New Roman"/>
                <w:sz w:val="22"/>
                <w:szCs w:val="22"/>
              </w:rPr>
              <w:br/>
              <w:t>Entender o papel do Escritório de Gerenciamento de Projetos (PMO);</w:t>
            </w:r>
            <w:r>
              <w:rPr>
                <w:rFonts w:ascii="Times New Roman" w:eastAsia="Times New Roman" w:hAnsi="Times New Roman" w:cs="Times New Roman"/>
                <w:sz w:val="22"/>
                <w:szCs w:val="22"/>
              </w:rPr>
              <w:br/>
              <w:t>Compreender as diferenças entre as abordagens pred</w:t>
            </w:r>
            <w:r>
              <w:rPr>
                <w:rFonts w:ascii="Times New Roman" w:eastAsia="Times New Roman" w:hAnsi="Times New Roman" w:cs="Times New Roman"/>
                <w:sz w:val="22"/>
                <w:szCs w:val="22"/>
              </w:rPr>
              <w:t>itiva e adaptativa para a gestão de um projeto;</w:t>
            </w:r>
            <w:r>
              <w:rPr>
                <w:rFonts w:ascii="Times New Roman" w:eastAsia="Times New Roman" w:hAnsi="Times New Roman" w:cs="Times New Roman"/>
                <w:sz w:val="22"/>
                <w:szCs w:val="22"/>
              </w:rPr>
              <w:br/>
              <w:t>Compreender a mentalidade ágil;</w:t>
            </w:r>
            <w:r>
              <w:rPr>
                <w:rFonts w:ascii="Times New Roman" w:eastAsia="Times New Roman" w:hAnsi="Times New Roman" w:cs="Times New Roman"/>
                <w:sz w:val="22"/>
                <w:szCs w:val="22"/>
              </w:rPr>
              <w:br/>
              <w:t>Conhecer o conceito de Agilidade nos Negócios;</w:t>
            </w:r>
            <w:r>
              <w:rPr>
                <w:rFonts w:ascii="Times New Roman" w:eastAsia="Times New Roman" w:hAnsi="Times New Roman" w:cs="Times New Roman"/>
                <w:sz w:val="22"/>
                <w:szCs w:val="22"/>
              </w:rPr>
              <w:br/>
              <w:t>Desenvolver uma visão geral sobre os principais métodos ágeis existentes no mercado;</w:t>
            </w:r>
            <w:r>
              <w:rPr>
                <w:rFonts w:ascii="Times New Roman" w:eastAsia="Times New Roman" w:hAnsi="Times New Roman" w:cs="Times New Roman"/>
                <w:sz w:val="22"/>
                <w:szCs w:val="22"/>
              </w:rPr>
              <w:br/>
              <w:t>Conhecer a metodologia Scrum, os seus pilare</w:t>
            </w:r>
            <w:r>
              <w:rPr>
                <w:rFonts w:ascii="Times New Roman" w:eastAsia="Times New Roman" w:hAnsi="Times New Roman" w:cs="Times New Roman"/>
                <w:sz w:val="22"/>
                <w:szCs w:val="22"/>
              </w:rPr>
              <w:t>s, os membros e as formas de organização de uma equipe, os eventos com duração fixa e o ciclo de trabalho do Scrum.</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190"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R$ 25.600,00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t>Administração de Banco de Dados (EaD)</w:t>
            </w:r>
          </w:p>
        </w:tc>
        <w:tc>
          <w:tcPr>
            <w:tcW w:w="118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Executar atividades de administração do PostGreSQL, incluindo gerenciamento de usuários, grupos e processos;</w:t>
            </w:r>
            <w:r>
              <w:rPr>
                <w:rFonts w:ascii="Times New Roman" w:eastAsia="Times New Roman" w:hAnsi="Times New Roman" w:cs="Times New Roman"/>
                <w:sz w:val="22"/>
                <w:szCs w:val="22"/>
              </w:rPr>
              <w:br/>
              <w:t>Configurar o sistema e a organização lógica e física dos dados (bases, schemas, objetos e metadados);</w:t>
            </w:r>
            <w:r>
              <w:rPr>
                <w:rFonts w:ascii="Times New Roman" w:eastAsia="Times New Roman" w:hAnsi="Times New Roman" w:cs="Times New Roman"/>
                <w:sz w:val="22"/>
                <w:szCs w:val="22"/>
              </w:rPr>
              <w:br/>
            </w:r>
            <w:r>
              <w:rPr>
                <w:rFonts w:ascii="Times New Roman" w:eastAsia="Times New Roman" w:hAnsi="Times New Roman" w:cs="Times New Roman"/>
                <w:sz w:val="22"/>
                <w:szCs w:val="22"/>
              </w:rPr>
              <w:lastRenderedPageBreak/>
              <w:t>Monitorar e fazer a manutenção do sistema, in</w:t>
            </w:r>
            <w:r>
              <w:rPr>
                <w:rFonts w:ascii="Times New Roman" w:eastAsia="Times New Roman" w:hAnsi="Times New Roman" w:cs="Times New Roman"/>
                <w:sz w:val="22"/>
                <w:szCs w:val="22"/>
              </w:rPr>
              <w:t>cluindo rotinas de vacuum, log e atualização de estatísticas</w:t>
            </w:r>
            <w:r>
              <w:rPr>
                <w:rFonts w:ascii="Times New Roman" w:eastAsia="Times New Roman" w:hAnsi="Times New Roman" w:cs="Times New Roman"/>
                <w:sz w:val="22"/>
                <w:szCs w:val="22"/>
              </w:rPr>
              <w:br/>
              <w:t>Identificar e resolver questões relacionadas com o desempenho do sistema, tanto no âmbito de conexões/aplicações como no de infraestrutura de hardware e software;</w:t>
            </w:r>
            <w:r>
              <w:rPr>
                <w:rFonts w:ascii="Times New Roman" w:eastAsia="Times New Roman" w:hAnsi="Times New Roman" w:cs="Times New Roman"/>
                <w:sz w:val="22"/>
                <w:szCs w:val="22"/>
              </w:rPr>
              <w:br/>
              <w:t>Usar ferramentas de administraçã</w:t>
            </w:r>
            <w:r>
              <w:rPr>
                <w:rFonts w:ascii="Times New Roman" w:eastAsia="Times New Roman" w:hAnsi="Times New Roman" w:cs="Times New Roman"/>
                <w:sz w:val="22"/>
                <w:szCs w:val="22"/>
              </w:rPr>
              <w:t>o do PostGreSQL e boas práticas para administração do sistema;</w:t>
            </w:r>
            <w:r>
              <w:rPr>
                <w:rFonts w:ascii="Times New Roman" w:eastAsia="Times New Roman" w:hAnsi="Times New Roman" w:cs="Times New Roman"/>
                <w:sz w:val="22"/>
                <w:szCs w:val="22"/>
              </w:rPr>
              <w:br/>
              <w:t>Elaborar políticas de backup e replicação de dados.</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190"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R$ 11.520,00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t>Modelagem de Banco de Dados (EaD)</w:t>
            </w:r>
          </w:p>
        </w:tc>
        <w:tc>
          <w:tcPr>
            <w:tcW w:w="118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Entender os conceitos em torno de sistemas de informação e sistemas gerenciadores de banco de dados – SGBD;</w:t>
            </w:r>
            <w:r>
              <w:rPr>
                <w:rFonts w:ascii="Times New Roman" w:eastAsia="Times New Roman" w:hAnsi="Times New Roman" w:cs="Times New Roman"/>
                <w:sz w:val="22"/>
                <w:szCs w:val="22"/>
              </w:rPr>
              <w:br/>
              <w:t>Registrar os requisitos a serem atendidos por um futuro banco de dados, elaborando um mini-mundo com uma descrição alto-nível destes requisitos;</w:t>
            </w:r>
            <w:r>
              <w:rPr>
                <w:rFonts w:ascii="Times New Roman" w:eastAsia="Times New Roman" w:hAnsi="Times New Roman" w:cs="Times New Roman"/>
                <w:sz w:val="22"/>
                <w:szCs w:val="22"/>
              </w:rPr>
              <w:br/>
              <w:t>Con</w:t>
            </w:r>
            <w:r>
              <w:rPr>
                <w:rFonts w:ascii="Times New Roman" w:eastAsia="Times New Roman" w:hAnsi="Times New Roman" w:cs="Times New Roman"/>
                <w:sz w:val="22"/>
                <w:szCs w:val="22"/>
              </w:rPr>
              <w:t>struir o modelo conceitual do BD, fazendo uso dos DER – Diagramas Entidade-Relacionamento e técnicas de Normalização de Dados;</w:t>
            </w:r>
            <w:r>
              <w:rPr>
                <w:rFonts w:ascii="Times New Roman" w:eastAsia="Times New Roman" w:hAnsi="Times New Roman" w:cs="Times New Roman"/>
                <w:sz w:val="22"/>
                <w:szCs w:val="22"/>
              </w:rPr>
              <w:br/>
              <w:t xml:space="preserve">Construir o modelo lógico do BD, a partir do modelo conceitual, incluindo restrições de </w:t>
            </w:r>
            <w:r>
              <w:rPr>
                <w:rFonts w:ascii="Times New Roman" w:eastAsia="Times New Roman" w:hAnsi="Times New Roman" w:cs="Times New Roman"/>
                <w:sz w:val="22"/>
                <w:szCs w:val="22"/>
              </w:rPr>
              <w:lastRenderedPageBreak/>
              <w:t>integridade;</w:t>
            </w:r>
            <w:r>
              <w:rPr>
                <w:rFonts w:ascii="Times New Roman" w:eastAsia="Times New Roman" w:hAnsi="Times New Roman" w:cs="Times New Roman"/>
                <w:sz w:val="22"/>
                <w:szCs w:val="22"/>
              </w:rPr>
              <w:br/>
              <w:t>Construir o modelo físico do</w:t>
            </w:r>
            <w:r>
              <w:rPr>
                <w:rFonts w:ascii="Times New Roman" w:eastAsia="Times New Roman" w:hAnsi="Times New Roman" w:cs="Times New Roman"/>
                <w:sz w:val="22"/>
                <w:szCs w:val="22"/>
              </w:rPr>
              <w:t xml:space="preserve"> BD, a partir do modelo lógico, fazendo uso de ferramentas CASE (BrModelo);</w:t>
            </w:r>
            <w:r>
              <w:rPr>
                <w:rFonts w:ascii="Times New Roman" w:eastAsia="Times New Roman" w:hAnsi="Times New Roman" w:cs="Times New Roman"/>
                <w:sz w:val="22"/>
                <w:szCs w:val="22"/>
              </w:rPr>
              <w:br/>
              <w:t>Conhecer a arquitetura e características de um SGBD, tendo como exemplo o PostgreSQL e sua implementação da linguagem SQL;</w:t>
            </w:r>
            <w:r>
              <w:rPr>
                <w:rFonts w:ascii="Times New Roman" w:eastAsia="Times New Roman" w:hAnsi="Times New Roman" w:cs="Times New Roman"/>
                <w:sz w:val="22"/>
                <w:szCs w:val="22"/>
              </w:rPr>
              <w:br/>
              <w:t>Criar a estrutura e fazer a manutenção de um BD através d</w:t>
            </w:r>
            <w:r>
              <w:rPr>
                <w:rFonts w:ascii="Times New Roman" w:eastAsia="Times New Roman" w:hAnsi="Times New Roman" w:cs="Times New Roman"/>
                <w:sz w:val="22"/>
                <w:szCs w:val="22"/>
              </w:rPr>
              <w:t>e comandos DDL</w:t>
            </w:r>
            <w:r>
              <w:rPr>
                <w:rFonts w:ascii="Times New Roman" w:eastAsia="Times New Roman" w:hAnsi="Times New Roman" w:cs="Times New Roman"/>
                <w:sz w:val="22"/>
                <w:szCs w:val="22"/>
              </w:rPr>
              <w:br/>
              <w:t>Manipular conjuntos de dados por meio de comandos DML e funções SQL;</w:t>
            </w:r>
            <w:r>
              <w:rPr>
                <w:rFonts w:ascii="Times New Roman" w:eastAsia="Times New Roman" w:hAnsi="Times New Roman" w:cs="Times New Roman"/>
                <w:sz w:val="22"/>
                <w:szCs w:val="22"/>
              </w:rPr>
              <w:br/>
              <w:t>Construir consultas, agrupamentos, índices e visões, bem como Stored Procedures e Transações; e</w:t>
            </w:r>
            <w:r>
              <w:rPr>
                <w:rFonts w:ascii="Times New Roman" w:eastAsia="Times New Roman" w:hAnsi="Times New Roman" w:cs="Times New Roman"/>
                <w:sz w:val="22"/>
                <w:szCs w:val="22"/>
              </w:rPr>
              <w:br/>
              <w:t>Entender exemplos básicos de Programação e tratamento de erros em SQL (pl/pg</w:t>
            </w:r>
            <w:r>
              <w:rPr>
                <w:rFonts w:ascii="Times New Roman" w:eastAsia="Times New Roman" w:hAnsi="Times New Roman" w:cs="Times New Roman"/>
                <w:sz w:val="22"/>
                <w:szCs w:val="22"/>
              </w:rPr>
              <w:t>sql);</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190"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R$ 11.520,00</w:t>
            </w:r>
          </w:p>
        </w:tc>
      </w:tr>
      <w:tr w:rsidR="004E4AF8" w:rsidTr="004E4AF8">
        <w:trPr>
          <w:trHeight w:val="255"/>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Calibri" w:eastAsia="Calibri" w:hAnsi="Calibri" w:cs="Calibri"/>
                <w:sz w:val="22"/>
                <w:szCs w:val="22"/>
              </w:rPr>
            </w:pPr>
            <w:r>
              <w:rPr>
                <w:rFonts w:ascii="Calibri" w:eastAsia="Calibri" w:hAnsi="Calibri" w:cs="Calibri"/>
                <w:sz w:val="22"/>
                <w:szCs w:val="22"/>
              </w:rPr>
              <w:t>Governança de TI com COBIT 2019 (EaD)</w:t>
            </w:r>
          </w:p>
        </w:tc>
        <w:tc>
          <w:tcPr>
            <w:tcW w:w="118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Analisar dos impactos estratégicos de TI nos negócios;</w:t>
            </w:r>
            <w:r>
              <w:rPr>
                <w:rFonts w:ascii="Times New Roman" w:eastAsia="Times New Roman" w:hAnsi="Times New Roman" w:cs="Times New Roman"/>
                <w:sz w:val="22"/>
                <w:szCs w:val="22"/>
              </w:rPr>
              <w:br/>
              <w:t>Realizar tomada de decisões sobre o uso eficaz dos recursos de TI;</w:t>
            </w:r>
            <w:r>
              <w:rPr>
                <w:rFonts w:ascii="Times New Roman" w:eastAsia="Times New Roman" w:hAnsi="Times New Roman" w:cs="Times New Roman"/>
                <w:sz w:val="22"/>
                <w:szCs w:val="22"/>
              </w:rPr>
              <w:br/>
            </w:r>
            <w:r>
              <w:rPr>
                <w:rFonts w:ascii="Times New Roman" w:eastAsia="Times New Roman" w:hAnsi="Times New Roman" w:cs="Times New Roman"/>
                <w:sz w:val="22"/>
                <w:szCs w:val="22"/>
              </w:rPr>
              <w:t>Planejar, gerir e controlar os processos de TI.</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190" w:type="dxa"/>
          </w:tcPr>
          <w:p w:rsidR="004E4AF8" w:rsidRDefault="004E4AF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026" w:type="dxa"/>
          </w:tcPr>
          <w:p w:rsidR="004E4AF8" w:rsidRDefault="00D623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R$ 6.000,00</w:t>
            </w:r>
          </w:p>
        </w:tc>
      </w:tr>
      <w:tr w:rsidR="004E4AF8" w:rsidTr="004E4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Arial" w:eastAsia="Arial" w:hAnsi="Arial" w:cs="Arial"/>
                <w:sz w:val="22"/>
                <w:szCs w:val="22"/>
              </w:rPr>
            </w:pPr>
            <w:r>
              <w:rPr>
                <w:rFonts w:ascii="Arial" w:eastAsia="Arial" w:hAnsi="Arial" w:cs="Arial"/>
                <w:sz w:val="22"/>
                <w:szCs w:val="22"/>
              </w:rPr>
              <w:t>Power BI na Prática</w:t>
            </w:r>
          </w:p>
        </w:tc>
        <w:tc>
          <w:tcPr>
            <w:tcW w:w="118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GEGOV</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3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EAD</w:t>
            </w:r>
          </w:p>
        </w:tc>
        <w:tc>
          <w:tcPr>
            <w:tcW w:w="117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definir</w:t>
            </w:r>
          </w:p>
        </w:tc>
        <w:tc>
          <w:tcPr>
            <w:tcW w:w="3267"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Aprenda todos os recursos do Power BI, do básico ao avançado, transformando base de dados em </w:t>
            </w:r>
            <w:r>
              <w:rPr>
                <w:rFonts w:ascii="Times New Roman" w:eastAsia="Times New Roman" w:hAnsi="Times New Roman" w:cs="Times New Roman"/>
                <w:sz w:val="22"/>
                <w:szCs w:val="22"/>
              </w:rPr>
              <w:lastRenderedPageBreak/>
              <w:t>relatórios dinâmicos e Dashboards profissionais na prática</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lastRenderedPageBreak/>
              <w:t>Alta</w:t>
            </w:r>
          </w:p>
        </w:tc>
        <w:tc>
          <w:tcPr>
            <w:tcW w:w="1190" w:type="dxa"/>
          </w:tcPr>
          <w:p w:rsidR="004E4AF8" w:rsidRDefault="004E4AF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
        </w:tc>
        <w:tc>
          <w:tcPr>
            <w:tcW w:w="1026" w:type="dxa"/>
          </w:tcPr>
          <w:p w:rsidR="004E4AF8" w:rsidRDefault="00D623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R$ 1.912,00</w:t>
            </w:r>
          </w:p>
        </w:tc>
      </w:tr>
      <w:tr w:rsidR="004E4AF8" w:rsidTr="004E4AF8">
        <w:trPr>
          <w:trHeight w:val="300"/>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Arial" w:eastAsia="Arial" w:hAnsi="Arial" w:cs="Arial"/>
                <w:sz w:val="20"/>
                <w:szCs w:val="20"/>
              </w:rPr>
            </w:pPr>
            <w:r>
              <w:rPr>
                <w:rFonts w:ascii="Arial" w:eastAsia="Arial" w:hAnsi="Arial" w:cs="Arial"/>
                <w:sz w:val="20"/>
                <w:szCs w:val="20"/>
              </w:rPr>
              <w:t>Capacitação em Governança de TI</w:t>
            </w:r>
          </w:p>
        </w:tc>
        <w:tc>
          <w:tcPr>
            <w:tcW w:w="118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15</w:t>
            </w:r>
          </w:p>
        </w:tc>
        <w:tc>
          <w:tcPr>
            <w:tcW w:w="153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Presencial</w:t>
            </w:r>
          </w:p>
        </w:tc>
        <w:tc>
          <w:tcPr>
            <w:tcW w:w="117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w:t>
            </w:r>
          </w:p>
        </w:tc>
        <w:tc>
          <w:tcPr>
            <w:tcW w:w="3267"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Arial" w:eastAsia="Arial" w:hAnsi="Arial" w:cs="Arial"/>
                <w:sz w:val="20"/>
                <w:szCs w:val="20"/>
              </w:rPr>
              <w:t>Capacitar interessados em Tecnologia da Informação, tornando-os aptos na gestão, planejamento</w:t>
            </w:r>
            <w:r>
              <w:rPr>
                <w:rFonts w:ascii="Arial" w:eastAsia="Arial" w:hAnsi="Arial" w:cs="Arial"/>
                <w:sz w:val="20"/>
                <w:szCs w:val="20"/>
              </w:rPr>
              <w:br/>
              <w:t>e implementação, além de agregar conhecimentos de gerência de projetos e liderança de equipes.</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190"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R$ 9.803,92</w:t>
            </w:r>
          </w:p>
        </w:tc>
      </w:tr>
      <w:tr w:rsidR="004E4AF8" w:rsidTr="004E4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Arial" w:eastAsia="Arial" w:hAnsi="Arial" w:cs="Arial"/>
                <w:sz w:val="20"/>
                <w:szCs w:val="20"/>
              </w:rPr>
            </w:pPr>
            <w:r>
              <w:rPr>
                <w:rFonts w:ascii="Arial" w:eastAsia="Arial" w:hAnsi="Arial" w:cs="Arial"/>
                <w:sz w:val="20"/>
                <w:szCs w:val="20"/>
              </w:rPr>
              <w:t>COBIT Foundations</w:t>
            </w:r>
          </w:p>
        </w:tc>
        <w:tc>
          <w:tcPr>
            <w:tcW w:w="118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15</w:t>
            </w:r>
          </w:p>
        </w:tc>
        <w:tc>
          <w:tcPr>
            <w:tcW w:w="153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Presencial</w:t>
            </w:r>
          </w:p>
        </w:tc>
        <w:tc>
          <w:tcPr>
            <w:tcW w:w="117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Vespertino</w:t>
            </w:r>
          </w:p>
        </w:tc>
        <w:tc>
          <w:tcPr>
            <w:tcW w:w="3267"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Arial" w:eastAsia="Arial" w:hAnsi="Arial" w:cs="Arial"/>
                <w:sz w:val="20"/>
                <w:szCs w:val="20"/>
              </w:rPr>
              <w:t>Implantar o COBIT na unidade e permitir o sustento dos objetivos e estratégias organizacionais.</w:t>
            </w:r>
            <w:r>
              <w:rPr>
                <w:rFonts w:ascii="Arial" w:eastAsia="Arial" w:hAnsi="Arial" w:cs="Arial"/>
                <w:sz w:val="20"/>
                <w:szCs w:val="20"/>
              </w:rPr>
              <w:br/>
              <w:t>Necessidade de aperfeiçoamento nos frameworks de gerenciamento e governança em TI, uma vez que a equipe de desenvolvimento necessita levan</w:t>
            </w:r>
            <w:r>
              <w:rPr>
                <w:rFonts w:ascii="Arial" w:eastAsia="Arial" w:hAnsi="Arial" w:cs="Arial"/>
                <w:sz w:val="20"/>
                <w:szCs w:val="20"/>
              </w:rPr>
              <w:t>tar requisitos, desenvolver, e oferecer suporte aos artefatos desenvolvidos. Em consoante, a equipe responsável pelas unidades judiciais necessitam também em razão de darem suporte e participarem indiretamente na evolução dos sistemas</w:t>
            </w:r>
            <w:r>
              <w:rPr>
                <w:rFonts w:ascii="Arial" w:eastAsia="Arial" w:hAnsi="Arial" w:cs="Arial"/>
                <w:sz w:val="20"/>
                <w:szCs w:val="20"/>
              </w:rPr>
              <w:br/>
              <w:t>processuais em operaç</w:t>
            </w:r>
            <w:r>
              <w:rPr>
                <w:rFonts w:ascii="Arial" w:eastAsia="Arial" w:hAnsi="Arial" w:cs="Arial"/>
                <w:sz w:val="20"/>
                <w:szCs w:val="20"/>
              </w:rPr>
              <w:t>ão no TJAC.</w:t>
            </w:r>
          </w:p>
        </w:tc>
        <w:tc>
          <w:tcPr>
            <w:tcW w:w="1457" w:type="dxa"/>
            <w:shd w:val="clear" w:color="auto" w:fill="FF00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Alta</w:t>
            </w:r>
          </w:p>
        </w:tc>
        <w:tc>
          <w:tcPr>
            <w:tcW w:w="1190"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R$ 9.803,92</w:t>
            </w:r>
          </w:p>
        </w:tc>
      </w:tr>
      <w:tr w:rsidR="004E4AF8" w:rsidTr="004E4AF8">
        <w:trPr>
          <w:trHeight w:val="300"/>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Arial" w:eastAsia="Arial" w:hAnsi="Arial" w:cs="Arial"/>
                <w:sz w:val="20"/>
                <w:szCs w:val="20"/>
              </w:rPr>
            </w:pPr>
            <w:r>
              <w:rPr>
                <w:rFonts w:ascii="Arial" w:eastAsia="Arial" w:hAnsi="Arial" w:cs="Arial"/>
                <w:sz w:val="20"/>
                <w:szCs w:val="20"/>
              </w:rPr>
              <w:t>ITIL V Foundations</w:t>
            </w:r>
          </w:p>
        </w:tc>
        <w:tc>
          <w:tcPr>
            <w:tcW w:w="118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15</w:t>
            </w:r>
          </w:p>
        </w:tc>
        <w:tc>
          <w:tcPr>
            <w:tcW w:w="1537"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Presencial</w:t>
            </w:r>
          </w:p>
        </w:tc>
        <w:tc>
          <w:tcPr>
            <w:tcW w:w="1173" w:type="dxa"/>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Vespertino</w:t>
            </w:r>
          </w:p>
        </w:tc>
        <w:tc>
          <w:tcPr>
            <w:tcW w:w="3267"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Arial" w:eastAsia="Arial" w:hAnsi="Arial" w:cs="Arial"/>
                <w:sz w:val="20"/>
                <w:szCs w:val="20"/>
              </w:rPr>
              <w:t>Capacitar a equipe para trabalho com as melhores práticas de gerenciamento de serviços de TI.</w:t>
            </w:r>
            <w:r>
              <w:rPr>
                <w:rFonts w:ascii="Arial" w:eastAsia="Arial" w:hAnsi="Arial" w:cs="Arial"/>
                <w:sz w:val="20"/>
                <w:szCs w:val="20"/>
              </w:rPr>
              <w:br/>
            </w:r>
            <w:r>
              <w:rPr>
                <w:rFonts w:ascii="Arial" w:eastAsia="Arial" w:hAnsi="Arial" w:cs="Arial"/>
                <w:sz w:val="20"/>
                <w:szCs w:val="20"/>
              </w:rPr>
              <w:t xml:space="preserve">Necessidade de aperfeiçoamento nos frameworks de gerenciamento e governança em TI, uma vez que a equipe de </w:t>
            </w:r>
            <w:r>
              <w:rPr>
                <w:rFonts w:ascii="Arial" w:eastAsia="Arial" w:hAnsi="Arial" w:cs="Arial"/>
                <w:sz w:val="20"/>
                <w:szCs w:val="20"/>
              </w:rPr>
              <w:lastRenderedPageBreak/>
              <w:t xml:space="preserve">desenvolvimento necessita levantar requisitos, desenvolver, e oferecer suporte aos artefatos desenvolvidos. Em consoante, a equipe responsável pelas </w:t>
            </w:r>
            <w:r>
              <w:rPr>
                <w:rFonts w:ascii="Arial" w:eastAsia="Arial" w:hAnsi="Arial" w:cs="Arial"/>
                <w:sz w:val="20"/>
                <w:szCs w:val="20"/>
              </w:rPr>
              <w:t>unidades judiciais necessitam também em razão de darem suporte e participarem indiretamente na evolução dos sistemas</w:t>
            </w:r>
            <w:r>
              <w:rPr>
                <w:rFonts w:ascii="Arial" w:eastAsia="Arial" w:hAnsi="Arial" w:cs="Arial"/>
                <w:sz w:val="20"/>
                <w:szCs w:val="20"/>
              </w:rPr>
              <w:br/>
              <w:t>processuais em operação no TJAC.</w:t>
            </w:r>
          </w:p>
        </w:tc>
        <w:tc>
          <w:tcPr>
            <w:tcW w:w="1457" w:type="dxa"/>
            <w:shd w:val="clear" w:color="auto" w:fill="FF0000"/>
          </w:tcPr>
          <w:p w:rsidR="004E4AF8" w:rsidRDefault="00D623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Alta</w:t>
            </w:r>
          </w:p>
        </w:tc>
        <w:tc>
          <w:tcPr>
            <w:tcW w:w="1190" w:type="dxa"/>
          </w:tcPr>
          <w:p w:rsidR="004E4AF8" w:rsidRDefault="00D6230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R$ 9.803,92</w:t>
            </w:r>
          </w:p>
        </w:tc>
      </w:tr>
      <w:tr w:rsidR="004E4AF8" w:rsidTr="004E4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2" w:type="dxa"/>
          </w:tcPr>
          <w:p w:rsidR="004E4AF8" w:rsidRDefault="00D62302">
            <w:pPr>
              <w:jc w:val="left"/>
              <w:rPr>
                <w:rFonts w:ascii="Arial" w:eastAsia="Arial" w:hAnsi="Arial" w:cs="Arial"/>
                <w:sz w:val="20"/>
                <w:szCs w:val="20"/>
              </w:rPr>
            </w:pPr>
            <w:r>
              <w:rPr>
                <w:rFonts w:ascii="Arial" w:eastAsia="Arial" w:hAnsi="Arial" w:cs="Arial"/>
                <w:sz w:val="20"/>
                <w:szCs w:val="20"/>
              </w:rPr>
              <w:t>Administração postgresql com alta disponibilidade</w:t>
            </w:r>
          </w:p>
        </w:tc>
        <w:tc>
          <w:tcPr>
            <w:tcW w:w="118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Servidores</w:t>
            </w:r>
          </w:p>
        </w:tc>
        <w:tc>
          <w:tcPr>
            <w:tcW w:w="1609"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15</w:t>
            </w:r>
          </w:p>
        </w:tc>
        <w:tc>
          <w:tcPr>
            <w:tcW w:w="1537"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Presencial</w:t>
            </w:r>
          </w:p>
        </w:tc>
        <w:tc>
          <w:tcPr>
            <w:tcW w:w="1173" w:type="dxa"/>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Vespertino</w:t>
            </w:r>
          </w:p>
        </w:tc>
        <w:tc>
          <w:tcPr>
            <w:tcW w:w="3267"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Disponibilizar alta performance nos serviços e trabalhar adequadamente com o banco de dados Postgre SQL</w:t>
            </w:r>
          </w:p>
        </w:tc>
        <w:tc>
          <w:tcPr>
            <w:tcW w:w="1457" w:type="dxa"/>
            <w:shd w:val="clear" w:color="auto" w:fill="FFFF00"/>
          </w:tcPr>
          <w:p w:rsidR="004E4AF8" w:rsidRDefault="00D623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Média</w:t>
            </w:r>
          </w:p>
        </w:tc>
        <w:tc>
          <w:tcPr>
            <w:tcW w:w="1190" w:type="dxa"/>
          </w:tcPr>
          <w:p w:rsidR="004E4AF8" w:rsidRDefault="00D6230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Orçamento 2024</w:t>
            </w:r>
          </w:p>
        </w:tc>
        <w:tc>
          <w:tcPr>
            <w:tcW w:w="1026" w:type="dxa"/>
          </w:tcPr>
          <w:p w:rsidR="004E4AF8" w:rsidRDefault="00D62302">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R$ 9.803,92</w:t>
            </w:r>
          </w:p>
        </w:tc>
      </w:tr>
    </w:tbl>
    <w:p w:rsidR="004E4AF8" w:rsidRDefault="00D62302">
      <w:pPr>
        <w:pStyle w:val="Ttulo5"/>
        <w:spacing w:after="200" w:line="240" w:lineRule="auto"/>
      </w:pPr>
      <w:bookmarkStart w:id="22" w:name="_heading=h.1y810tw" w:colFirst="0" w:colLast="0"/>
      <w:bookmarkEnd w:id="22"/>
      <w:r>
        <w:t>Tabela 7 - Ações de Capacitação/ DITEC (Governança)</w:t>
      </w:r>
    </w:p>
    <w:p w:rsidR="004E4AF8" w:rsidRDefault="00D62302">
      <w:pPr>
        <w:pStyle w:val="Ttulo3"/>
        <w:numPr>
          <w:ilvl w:val="2"/>
          <w:numId w:val="5"/>
        </w:numPr>
      </w:pPr>
      <w:bookmarkStart w:id="23" w:name="_heading=h.4i7ojhp" w:colFirst="0" w:colLast="0"/>
      <w:bookmarkEnd w:id="23"/>
      <w:r>
        <w:t>Todas as unidades da DITEC</w:t>
      </w:r>
    </w:p>
    <w:tbl>
      <w:tblPr>
        <w:tblStyle w:val="afffffffffffffff9"/>
        <w:tblW w:w="14596"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616"/>
        <w:gridCol w:w="4026"/>
        <w:gridCol w:w="1131"/>
        <w:gridCol w:w="1129"/>
        <w:gridCol w:w="990"/>
        <w:gridCol w:w="992"/>
        <w:gridCol w:w="1017"/>
        <w:gridCol w:w="3702"/>
        <w:gridCol w:w="993"/>
      </w:tblGrid>
      <w:tr w:rsidR="004E4AF8" w:rsidTr="004E4AF8">
        <w:trPr>
          <w:cnfStyle w:val="100000000000" w:firstRow="1" w:lastRow="0" w:firstColumn="0" w:lastColumn="0" w:oddVBand="0" w:evenVBand="0" w:oddHBand="0" w:evenHBand="0" w:firstRowFirstColumn="0" w:firstRowLastColumn="0" w:lastRowFirstColumn="0" w:lastRowLastColumn="0"/>
          <w:cantSplit/>
          <w:trHeight w:val="455"/>
        </w:trPr>
        <w:tc>
          <w:tcPr>
            <w:cnfStyle w:val="001000000000" w:firstRow="0" w:lastRow="0" w:firstColumn="1" w:lastColumn="0" w:oddVBand="0" w:evenVBand="0" w:oddHBand="0" w:evenHBand="0" w:firstRowFirstColumn="0" w:firstRowLastColumn="0" w:lastRowFirstColumn="0" w:lastRowLastColumn="0"/>
            <w:tcW w:w="616" w:type="dxa"/>
            <w:vAlign w:val="center"/>
          </w:tcPr>
          <w:p w:rsidR="004E4AF8" w:rsidRDefault="00D62302">
            <w:pPr>
              <w:jc w:val="center"/>
              <w:rPr>
                <w:sz w:val="18"/>
                <w:szCs w:val="18"/>
              </w:rPr>
            </w:pPr>
            <w:r>
              <w:rPr>
                <w:sz w:val="18"/>
                <w:szCs w:val="18"/>
              </w:rPr>
              <w:t>SEQ</w:t>
            </w:r>
          </w:p>
        </w:tc>
        <w:tc>
          <w:tcPr>
            <w:tcW w:w="4026"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NOME DO CURSO</w:t>
            </w:r>
          </w:p>
        </w:tc>
        <w:tc>
          <w:tcPr>
            <w:tcW w:w="1131"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PÚBLICO ALVO</w:t>
            </w:r>
          </w:p>
        </w:tc>
        <w:tc>
          <w:tcPr>
            <w:tcW w:w="1129"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PARTICIPANTES</w:t>
            </w:r>
          </w:p>
        </w:tc>
        <w:tc>
          <w:tcPr>
            <w:tcW w:w="990"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MODALIDADE</w:t>
            </w:r>
          </w:p>
        </w:tc>
        <w:tc>
          <w:tcPr>
            <w:tcW w:w="992"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TURNO</w:t>
            </w:r>
          </w:p>
        </w:tc>
        <w:tc>
          <w:tcPr>
            <w:tcW w:w="1017"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DATA</w:t>
            </w:r>
          </w:p>
        </w:tc>
        <w:tc>
          <w:tcPr>
            <w:tcW w:w="3702"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RESULTADOS ESPERADOS</w:t>
            </w:r>
          </w:p>
        </w:tc>
        <w:tc>
          <w:tcPr>
            <w:tcW w:w="993"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CRITICIDADE</w:t>
            </w:r>
          </w:p>
        </w:tc>
      </w:tr>
      <w:tr w:rsidR="004E4AF8" w:rsidTr="004E4AF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616" w:type="dxa"/>
            <w:shd w:val="clear" w:color="auto" w:fill="2191C9"/>
            <w:vAlign w:val="center"/>
          </w:tcPr>
          <w:p w:rsidR="004E4AF8" w:rsidRDefault="00D62302">
            <w:pPr>
              <w:jc w:val="center"/>
              <w:rPr>
                <w:sz w:val="18"/>
                <w:szCs w:val="18"/>
              </w:rPr>
            </w:pPr>
            <w:r>
              <w:rPr>
                <w:sz w:val="18"/>
                <w:szCs w:val="18"/>
              </w:rPr>
              <w:t>01</w:t>
            </w:r>
          </w:p>
        </w:tc>
        <w:tc>
          <w:tcPr>
            <w:tcW w:w="4026"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Gestão de Riscos Corporativos</w:t>
            </w:r>
          </w:p>
        </w:tc>
        <w:tc>
          <w:tcPr>
            <w:tcW w:w="1131"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Servidores</w:t>
            </w:r>
          </w:p>
        </w:tc>
        <w:tc>
          <w:tcPr>
            <w:tcW w:w="1129"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Presencial</w:t>
            </w:r>
          </w:p>
        </w:tc>
        <w:tc>
          <w:tcPr>
            <w:tcW w:w="992"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017"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3702"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Qualificar colaboradores para atuar no modo de prevenção eliminando os indícios e riscos, através dos princípios de Compliance.</w:t>
            </w:r>
          </w:p>
        </w:tc>
        <w:tc>
          <w:tcPr>
            <w:tcW w:w="993" w:type="dxa"/>
            <w:shd w:val="clear" w:color="auto" w:fill="FF0000"/>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b/>
                <w:color w:val="FFFFFF"/>
                <w:sz w:val="16"/>
                <w:szCs w:val="16"/>
              </w:rPr>
            </w:pPr>
            <w:r>
              <w:rPr>
                <w:b/>
                <w:color w:val="FFFFFF"/>
                <w:sz w:val="16"/>
                <w:szCs w:val="16"/>
              </w:rPr>
              <w:t>ALTA</w:t>
            </w:r>
          </w:p>
        </w:tc>
      </w:tr>
      <w:tr w:rsidR="004E4AF8" w:rsidTr="004E4AF8">
        <w:trPr>
          <w:trHeight w:val="709"/>
        </w:trPr>
        <w:tc>
          <w:tcPr>
            <w:cnfStyle w:val="001000000000" w:firstRow="0" w:lastRow="0" w:firstColumn="1" w:lastColumn="0" w:oddVBand="0" w:evenVBand="0" w:oddHBand="0" w:evenHBand="0" w:firstRowFirstColumn="0" w:firstRowLastColumn="0" w:lastRowFirstColumn="0" w:lastRowLastColumn="0"/>
            <w:tcW w:w="616" w:type="dxa"/>
            <w:shd w:val="clear" w:color="auto" w:fill="2191C9"/>
            <w:vAlign w:val="center"/>
          </w:tcPr>
          <w:p w:rsidR="004E4AF8" w:rsidRDefault="00D62302">
            <w:pPr>
              <w:jc w:val="center"/>
              <w:rPr>
                <w:sz w:val="18"/>
                <w:szCs w:val="18"/>
              </w:rPr>
            </w:pPr>
            <w:r>
              <w:rPr>
                <w:sz w:val="18"/>
                <w:szCs w:val="18"/>
              </w:rPr>
              <w:t>02</w:t>
            </w:r>
          </w:p>
        </w:tc>
        <w:tc>
          <w:tcPr>
            <w:tcW w:w="4026"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Política de Segurança da Informação</w:t>
            </w:r>
          </w:p>
        </w:tc>
        <w:tc>
          <w:tcPr>
            <w:tcW w:w="1131"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Servidores</w:t>
            </w:r>
          </w:p>
        </w:tc>
        <w:tc>
          <w:tcPr>
            <w:tcW w:w="1129"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Presencial</w:t>
            </w:r>
          </w:p>
        </w:tc>
        <w:tc>
          <w:tcPr>
            <w:tcW w:w="992"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017"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3702"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Qualificar colaboradores em como estruturar a PSI, quais controles devem ser definidos e como funciona o fluxo de análise dos controles, deliberação, elaboração da PSI.</w:t>
            </w:r>
          </w:p>
        </w:tc>
        <w:tc>
          <w:tcPr>
            <w:tcW w:w="993" w:type="dxa"/>
            <w:shd w:val="clear" w:color="auto" w:fill="FF0000"/>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b/>
                <w:color w:val="FFFFFF"/>
                <w:sz w:val="16"/>
                <w:szCs w:val="16"/>
              </w:rPr>
            </w:pPr>
            <w:r>
              <w:rPr>
                <w:b/>
                <w:color w:val="FFFFFF"/>
                <w:sz w:val="16"/>
                <w:szCs w:val="16"/>
              </w:rPr>
              <w:t>ALTA</w:t>
            </w:r>
          </w:p>
        </w:tc>
      </w:tr>
      <w:tr w:rsidR="004E4AF8" w:rsidTr="004E4AF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616" w:type="dxa"/>
            <w:shd w:val="clear" w:color="auto" w:fill="2191C9"/>
            <w:vAlign w:val="center"/>
          </w:tcPr>
          <w:p w:rsidR="004E4AF8" w:rsidRDefault="00D62302">
            <w:pPr>
              <w:jc w:val="center"/>
              <w:rPr>
                <w:sz w:val="18"/>
                <w:szCs w:val="18"/>
              </w:rPr>
            </w:pPr>
            <w:r>
              <w:rPr>
                <w:sz w:val="18"/>
                <w:szCs w:val="18"/>
              </w:rPr>
              <w:t>03</w:t>
            </w:r>
          </w:p>
        </w:tc>
        <w:tc>
          <w:tcPr>
            <w:tcW w:w="4026"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Segurança da Informação</w:t>
            </w:r>
          </w:p>
        </w:tc>
        <w:tc>
          <w:tcPr>
            <w:tcW w:w="1131"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Servidores</w:t>
            </w:r>
          </w:p>
        </w:tc>
        <w:tc>
          <w:tcPr>
            <w:tcW w:w="1129"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Presencial</w:t>
            </w:r>
          </w:p>
        </w:tc>
        <w:tc>
          <w:tcPr>
            <w:tcW w:w="992"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017"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3702"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Capacitar a equipe de TI sobre os principais conceitos envolvidos em Segurança da Informação, seus conceitos e processos necessários para adequar às boas práticas de mercado.</w:t>
            </w:r>
          </w:p>
        </w:tc>
        <w:tc>
          <w:tcPr>
            <w:tcW w:w="993" w:type="dxa"/>
            <w:shd w:val="clear" w:color="auto" w:fill="FF0000"/>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b/>
                <w:color w:val="FFFFFF"/>
                <w:sz w:val="16"/>
                <w:szCs w:val="16"/>
              </w:rPr>
            </w:pPr>
            <w:r>
              <w:rPr>
                <w:b/>
                <w:color w:val="FFFFFF"/>
                <w:sz w:val="16"/>
                <w:szCs w:val="16"/>
              </w:rPr>
              <w:t>ALTA</w:t>
            </w:r>
          </w:p>
        </w:tc>
      </w:tr>
      <w:tr w:rsidR="004E4AF8" w:rsidTr="004E4AF8">
        <w:trPr>
          <w:trHeight w:val="709"/>
        </w:trPr>
        <w:tc>
          <w:tcPr>
            <w:cnfStyle w:val="001000000000" w:firstRow="0" w:lastRow="0" w:firstColumn="1" w:lastColumn="0" w:oddVBand="0" w:evenVBand="0" w:oddHBand="0" w:evenHBand="0" w:firstRowFirstColumn="0" w:firstRowLastColumn="0" w:lastRowFirstColumn="0" w:lastRowLastColumn="0"/>
            <w:tcW w:w="616" w:type="dxa"/>
            <w:shd w:val="clear" w:color="auto" w:fill="2191C9"/>
            <w:vAlign w:val="center"/>
          </w:tcPr>
          <w:p w:rsidR="004E4AF8" w:rsidRDefault="00D62302">
            <w:pPr>
              <w:jc w:val="center"/>
              <w:rPr>
                <w:sz w:val="18"/>
                <w:szCs w:val="18"/>
              </w:rPr>
            </w:pPr>
            <w:r>
              <w:rPr>
                <w:sz w:val="18"/>
                <w:szCs w:val="18"/>
              </w:rPr>
              <w:t>04</w:t>
            </w:r>
          </w:p>
        </w:tc>
        <w:tc>
          <w:tcPr>
            <w:tcW w:w="4026"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Gestão de TIC</w:t>
            </w:r>
          </w:p>
        </w:tc>
        <w:tc>
          <w:tcPr>
            <w:tcW w:w="1131"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Servidores</w:t>
            </w:r>
          </w:p>
        </w:tc>
        <w:tc>
          <w:tcPr>
            <w:tcW w:w="1129"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Presencial</w:t>
            </w:r>
          </w:p>
        </w:tc>
        <w:tc>
          <w:tcPr>
            <w:tcW w:w="992"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017"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3702"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Apresentar a equipe de TI os principais conceitos envolvidos no ITIL e demais frameworks de Gestão de TIC, abordagem dos processos de gestão de incidentes, gestão de mudanças, central de </w:t>
            </w:r>
            <w:r>
              <w:rPr>
                <w:sz w:val="16"/>
                <w:szCs w:val="16"/>
              </w:rPr>
              <w:lastRenderedPageBreak/>
              <w:t>serviços, gestão de acessos dentre outros processos relevantes para o</w:t>
            </w:r>
            <w:r>
              <w:rPr>
                <w:sz w:val="16"/>
                <w:szCs w:val="16"/>
              </w:rPr>
              <w:t xml:space="preserve"> cenário do TJAC.</w:t>
            </w:r>
          </w:p>
        </w:tc>
        <w:tc>
          <w:tcPr>
            <w:tcW w:w="993" w:type="dxa"/>
            <w:shd w:val="clear" w:color="auto" w:fill="FF0000"/>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b/>
                <w:color w:val="FFFFFF"/>
                <w:sz w:val="16"/>
                <w:szCs w:val="16"/>
              </w:rPr>
            </w:pPr>
            <w:r>
              <w:rPr>
                <w:b/>
                <w:color w:val="FFFFFF"/>
                <w:sz w:val="16"/>
                <w:szCs w:val="16"/>
              </w:rPr>
              <w:lastRenderedPageBreak/>
              <w:t>ALTA</w:t>
            </w:r>
          </w:p>
        </w:tc>
      </w:tr>
      <w:tr w:rsidR="004E4AF8" w:rsidTr="004E4AF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616" w:type="dxa"/>
            <w:shd w:val="clear" w:color="auto" w:fill="2191C9"/>
            <w:vAlign w:val="center"/>
          </w:tcPr>
          <w:p w:rsidR="004E4AF8" w:rsidRDefault="00D62302">
            <w:pPr>
              <w:jc w:val="center"/>
              <w:rPr>
                <w:sz w:val="18"/>
                <w:szCs w:val="18"/>
              </w:rPr>
            </w:pPr>
            <w:r>
              <w:rPr>
                <w:sz w:val="18"/>
                <w:szCs w:val="18"/>
              </w:rPr>
              <w:t>05</w:t>
            </w:r>
          </w:p>
        </w:tc>
        <w:tc>
          <w:tcPr>
            <w:tcW w:w="4026"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Continuidade de Negócio</w:t>
            </w:r>
          </w:p>
        </w:tc>
        <w:tc>
          <w:tcPr>
            <w:tcW w:w="1131"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Servidores</w:t>
            </w:r>
          </w:p>
        </w:tc>
        <w:tc>
          <w:tcPr>
            <w:tcW w:w="1129"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50</w:t>
            </w:r>
          </w:p>
        </w:tc>
        <w:tc>
          <w:tcPr>
            <w:tcW w:w="990"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Presencial</w:t>
            </w:r>
          </w:p>
        </w:tc>
        <w:tc>
          <w:tcPr>
            <w:tcW w:w="992"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017"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3702"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Explanar para equipe de TI das características de um Sistema de Gestão de Continuidade de Negócio, principais conceitos envolvidos (BIA, PCN, RTO, RPO, PRD, PCN, PCO e outros) e compartilhamento de experiências de mercado e benchmarking.</w:t>
            </w:r>
          </w:p>
        </w:tc>
        <w:tc>
          <w:tcPr>
            <w:tcW w:w="993" w:type="dxa"/>
            <w:shd w:val="clear" w:color="auto" w:fill="FF0000"/>
            <w:vAlign w:val="center"/>
          </w:tcPr>
          <w:p w:rsidR="004E4AF8" w:rsidRDefault="00D62302">
            <w:pPr>
              <w:keepNext/>
              <w:ind w:left="113" w:right="113"/>
              <w:jc w:val="center"/>
              <w:cnfStyle w:val="000000100000" w:firstRow="0" w:lastRow="0" w:firstColumn="0" w:lastColumn="0" w:oddVBand="0" w:evenVBand="0" w:oddHBand="1" w:evenHBand="0" w:firstRowFirstColumn="0" w:firstRowLastColumn="0" w:lastRowFirstColumn="0" w:lastRowLastColumn="0"/>
              <w:rPr>
                <w:b/>
                <w:color w:val="FFFFFF"/>
                <w:sz w:val="16"/>
                <w:szCs w:val="16"/>
              </w:rPr>
            </w:pPr>
            <w:r>
              <w:rPr>
                <w:b/>
                <w:color w:val="FFFFFF"/>
                <w:sz w:val="16"/>
                <w:szCs w:val="16"/>
              </w:rPr>
              <w:t>ALTA</w:t>
            </w:r>
          </w:p>
        </w:tc>
      </w:tr>
      <w:tr w:rsidR="004E4AF8" w:rsidTr="004E4AF8">
        <w:trPr>
          <w:trHeight w:val="709"/>
        </w:trPr>
        <w:tc>
          <w:tcPr>
            <w:cnfStyle w:val="001000000000" w:firstRow="0" w:lastRow="0" w:firstColumn="1" w:lastColumn="0" w:oddVBand="0" w:evenVBand="0" w:oddHBand="0" w:evenHBand="0" w:firstRowFirstColumn="0" w:firstRowLastColumn="0" w:lastRowFirstColumn="0" w:lastRowLastColumn="0"/>
            <w:tcW w:w="616" w:type="dxa"/>
            <w:shd w:val="clear" w:color="auto" w:fill="2191C9"/>
            <w:vAlign w:val="center"/>
          </w:tcPr>
          <w:p w:rsidR="004E4AF8" w:rsidRDefault="00D62302">
            <w:pPr>
              <w:jc w:val="center"/>
              <w:rPr>
                <w:sz w:val="18"/>
                <w:szCs w:val="18"/>
              </w:rPr>
            </w:pPr>
            <w:r>
              <w:rPr>
                <w:sz w:val="18"/>
                <w:szCs w:val="18"/>
              </w:rPr>
              <w:t>06</w:t>
            </w:r>
          </w:p>
        </w:tc>
        <w:tc>
          <w:tcPr>
            <w:tcW w:w="4026"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Lei Geral</w:t>
            </w:r>
            <w:r>
              <w:rPr>
                <w:sz w:val="16"/>
                <w:szCs w:val="16"/>
              </w:rPr>
              <w:t xml:space="preserve"> de Proteção de Dados Pessoais (LGPD)</w:t>
            </w:r>
          </w:p>
        </w:tc>
        <w:tc>
          <w:tcPr>
            <w:tcW w:w="1131"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Servidores</w:t>
            </w:r>
          </w:p>
        </w:tc>
        <w:tc>
          <w:tcPr>
            <w:tcW w:w="1129"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w:t>
            </w:r>
          </w:p>
        </w:tc>
        <w:tc>
          <w:tcPr>
            <w:tcW w:w="990"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Presencial</w:t>
            </w:r>
          </w:p>
        </w:tc>
        <w:tc>
          <w:tcPr>
            <w:tcW w:w="992"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017"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3702"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Compartilhar com a equipe de TI a visão do que é a LGPD, seus principais artigos, dentre os 65 existentes, as mudanças na prática dentro das organizações e quais são os principais processos e ajustes que as empresas precisam desenvolver e/ou estruturar.</w:t>
            </w:r>
          </w:p>
        </w:tc>
        <w:tc>
          <w:tcPr>
            <w:tcW w:w="993" w:type="dxa"/>
            <w:shd w:val="clear" w:color="auto" w:fill="FF0000"/>
            <w:vAlign w:val="center"/>
          </w:tcPr>
          <w:p w:rsidR="004E4AF8" w:rsidRDefault="00D62302">
            <w:pPr>
              <w:keepNext/>
              <w:ind w:left="113" w:right="113"/>
              <w:jc w:val="center"/>
              <w:cnfStyle w:val="000000000000" w:firstRow="0" w:lastRow="0" w:firstColumn="0" w:lastColumn="0" w:oddVBand="0" w:evenVBand="0" w:oddHBand="0" w:evenHBand="0" w:firstRowFirstColumn="0" w:firstRowLastColumn="0" w:lastRowFirstColumn="0" w:lastRowLastColumn="0"/>
              <w:rPr>
                <w:b/>
                <w:color w:val="FFFFFF"/>
                <w:sz w:val="16"/>
                <w:szCs w:val="16"/>
              </w:rPr>
            </w:pPr>
            <w:r>
              <w:rPr>
                <w:b/>
                <w:color w:val="FFFFFF"/>
                <w:sz w:val="16"/>
                <w:szCs w:val="16"/>
              </w:rPr>
              <w:t>AL</w:t>
            </w:r>
            <w:r>
              <w:rPr>
                <w:b/>
                <w:color w:val="FFFFFF"/>
                <w:sz w:val="16"/>
                <w:szCs w:val="16"/>
              </w:rPr>
              <w:t>TA</w:t>
            </w:r>
          </w:p>
        </w:tc>
      </w:tr>
    </w:tbl>
    <w:p w:rsidR="004E4AF8" w:rsidRDefault="00D62302">
      <w:pPr>
        <w:pStyle w:val="Ttulo5"/>
        <w:spacing w:after="200" w:line="240" w:lineRule="auto"/>
        <w:sectPr w:rsidR="004E4AF8">
          <w:pgSz w:w="16838" w:h="11906" w:orient="landscape"/>
          <w:pgMar w:top="1134" w:right="1134" w:bottom="1134" w:left="1134" w:header="709" w:footer="709" w:gutter="0"/>
          <w:cols w:space="720"/>
        </w:sectPr>
      </w:pPr>
      <w:bookmarkStart w:id="24" w:name="_heading=h.z6hmpz37uuad" w:colFirst="0" w:colLast="0"/>
      <w:bookmarkEnd w:id="24"/>
      <w:r>
        <w:t>Tabela 8 - Ações de Capacitação/Todas as unidades da DITEC</w:t>
      </w:r>
    </w:p>
    <w:p w:rsidR="004E4AF8" w:rsidRDefault="00D62302">
      <w:pPr>
        <w:pStyle w:val="Ttulo3"/>
        <w:numPr>
          <w:ilvl w:val="1"/>
          <w:numId w:val="5"/>
        </w:numPr>
      </w:pPr>
      <w:bookmarkStart w:id="25" w:name="_heading=h.2xcytpi" w:colFirst="0" w:colLast="0"/>
      <w:bookmarkEnd w:id="25"/>
      <w:r>
        <w:lastRenderedPageBreak/>
        <w:t>Tabela de prioridades</w:t>
      </w:r>
    </w:p>
    <w:p w:rsidR="004E4AF8" w:rsidRDefault="00D62302">
      <w:r>
        <w:t>Para definição das necessidades foi utilizado a metodologia de matriz de GUT, conforme figura abaixo:</w:t>
      </w:r>
    </w:p>
    <w:p w:rsidR="004E4AF8" w:rsidRDefault="00D62302">
      <w:pPr>
        <w:keepNext/>
        <w:spacing w:after="0" w:line="240" w:lineRule="auto"/>
        <w:jc w:val="center"/>
      </w:pPr>
      <w:r>
        <w:rPr>
          <w:noProof/>
          <w:color w:val="595959"/>
        </w:rPr>
        <w:drawing>
          <wp:inline distT="0" distB="0" distL="0" distR="0">
            <wp:extent cx="5330127" cy="2900995"/>
            <wp:effectExtent l="0" t="0" r="0" b="0"/>
            <wp:docPr id="210" name="image3.png" descr="https://documents.lucid.app/documents/e7acf22c-82fb-4408-871e-035ce64163fc/pages/0_0?a=278&amp;x=-559&amp;y=-1415&amp;w=3014&amp;h=1609&amp;store=1&amp;accept=image%2F*&amp;auth=LCA%20661690aead79e573bac9135b85d6d3991a8194b4a0026cf401e94207e4e39f71-ts%3D1686678008"/>
            <wp:cNvGraphicFramePr/>
            <a:graphic xmlns:a="http://schemas.openxmlformats.org/drawingml/2006/main">
              <a:graphicData uri="http://schemas.openxmlformats.org/drawingml/2006/picture">
                <pic:pic xmlns:pic="http://schemas.openxmlformats.org/drawingml/2006/picture">
                  <pic:nvPicPr>
                    <pic:cNvPr id="0" name="image3.png" descr="https://documents.lucid.app/documents/e7acf22c-82fb-4408-871e-035ce64163fc/pages/0_0?a=278&amp;x=-559&amp;y=-1415&amp;w=3014&amp;h=1609&amp;store=1&amp;accept=image%2F*&amp;auth=LCA%20661690aead79e573bac9135b85d6d3991a8194b4a0026cf401e94207e4e39f71-ts%3D1686678008"/>
                    <pic:cNvPicPr preferRelativeResize="0"/>
                  </pic:nvPicPr>
                  <pic:blipFill>
                    <a:blip r:embed="rId55"/>
                    <a:srcRect/>
                    <a:stretch>
                      <a:fillRect/>
                    </a:stretch>
                  </pic:blipFill>
                  <pic:spPr>
                    <a:xfrm>
                      <a:off x="0" y="0"/>
                      <a:ext cx="5330127" cy="2900995"/>
                    </a:xfrm>
                    <a:prstGeom prst="rect">
                      <a:avLst/>
                    </a:prstGeom>
                    <a:ln/>
                  </pic:spPr>
                </pic:pic>
              </a:graphicData>
            </a:graphic>
          </wp:inline>
        </w:drawing>
      </w:r>
    </w:p>
    <w:p w:rsidR="004E4AF8" w:rsidRDefault="00D62302">
      <w:pPr>
        <w:pStyle w:val="Ttulo4"/>
        <w:rPr>
          <w:i/>
          <w:sz w:val="20"/>
          <w:szCs w:val="20"/>
        </w:rPr>
      </w:pPr>
      <w:bookmarkStart w:id="26" w:name="_heading=h.1ci93xb" w:colFirst="0" w:colLast="0"/>
      <w:bookmarkEnd w:id="26"/>
      <w:r>
        <w:t>Figura 2 - Grau de Prioridades</w:t>
      </w:r>
    </w:p>
    <w:p w:rsidR="004E4AF8" w:rsidRDefault="00D62302">
      <w:pPr>
        <w:pStyle w:val="Ttulo1"/>
        <w:numPr>
          <w:ilvl w:val="0"/>
          <w:numId w:val="5"/>
        </w:numPr>
      </w:pPr>
      <w:bookmarkStart w:id="27" w:name="_heading=h.3ygebqi" w:colFirst="0" w:colLast="0"/>
      <w:bookmarkEnd w:id="27"/>
      <w:r>
        <w:t>Conclusão</w:t>
      </w:r>
    </w:p>
    <w:p w:rsidR="004E4AF8" w:rsidRDefault="00D62302">
      <w:r>
        <w:t>O Plano de Contratação de Soluções de TIC do TJAC, elaborado segundo as orientações da Resolução nº 182 do Conselho Nacional de Justiça – CNJ, tem o propósito de orientar o processo de contratação para o exercício de 2022/2023.</w:t>
      </w:r>
    </w:p>
    <w:p w:rsidR="004E4AF8" w:rsidRDefault="00D62302">
      <w:r>
        <w:t>Nesse contexto, foram priori</w:t>
      </w:r>
      <w:r>
        <w:t>zados os contratos de soluções em vigor e que deverão ter continuidade nos próximos exercícios, bem como novas demandas que se apresentam como necessárias para ampliação, diversificação e manutenção da estrutura de TIC.</w:t>
      </w:r>
    </w:p>
    <w:p w:rsidR="004E4AF8" w:rsidRDefault="00D62302">
      <w:r>
        <w:t>Por fim, a instituição do PSTIC mate</w:t>
      </w:r>
      <w:r>
        <w:t>rializa conceitos de governança necessários à boa gestão de recursos públicos, de modo a garantir a boa execução dos processos chaves e as estratégias delineadas.</w:t>
      </w:r>
    </w:p>
    <w:p w:rsidR="004E4AF8" w:rsidRDefault="00D62302">
      <w:pPr>
        <w:spacing w:line="259" w:lineRule="auto"/>
        <w:jc w:val="left"/>
      </w:pPr>
      <w:r>
        <w:br w:type="page"/>
      </w:r>
    </w:p>
    <w:p w:rsidR="004E4AF8" w:rsidRDefault="00D62302">
      <w:pPr>
        <w:pStyle w:val="Ttulo1"/>
        <w:numPr>
          <w:ilvl w:val="0"/>
          <w:numId w:val="5"/>
        </w:numPr>
      </w:pPr>
      <w:bookmarkStart w:id="28" w:name="_heading=h.3whwml4" w:colFirst="0" w:colLast="0"/>
      <w:bookmarkEnd w:id="28"/>
      <w:r>
        <w:lastRenderedPageBreak/>
        <w:t>Anexos</w:t>
      </w:r>
    </w:p>
    <w:p w:rsidR="004E4AF8" w:rsidRDefault="00D62302">
      <w:pPr>
        <w:pStyle w:val="Ttulo2"/>
        <w:numPr>
          <w:ilvl w:val="1"/>
          <w:numId w:val="5"/>
        </w:numPr>
      </w:pPr>
      <w:bookmarkStart w:id="29" w:name="_heading=h.2bn6wsx" w:colFirst="0" w:colLast="0"/>
      <w:bookmarkEnd w:id="29"/>
      <w:r>
        <w:t>Check-list para contratação de soluções de TIC</w:t>
      </w:r>
    </w:p>
    <w:p w:rsidR="004E4AF8" w:rsidRDefault="004E4AF8">
      <w:pPr>
        <w:jc w:val="center"/>
      </w:pPr>
    </w:p>
    <w:p w:rsidR="004E4AF8" w:rsidRDefault="00D62302">
      <w:pPr>
        <w:jc w:val="center"/>
        <w:rPr>
          <w:b/>
        </w:rPr>
      </w:pPr>
      <w:r>
        <w:rPr>
          <w:b/>
          <w:sz w:val="32"/>
          <w:szCs w:val="32"/>
        </w:rPr>
        <w:t>CHECK-LIST PARA CONTRATAÇÃO DE SOLUÇ</w:t>
      </w:r>
      <w:r>
        <w:rPr>
          <w:b/>
          <w:sz w:val="32"/>
          <w:szCs w:val="32"/>
        </w:rPr>
        <w:t>ÕES DE TIC</w:t>
      </w: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Processo Administrativo nº &lt;</w:t>
      </w:r>
      <w:r>
        <w:rPr>
          <w:b/>
          <w:color w:val="0F6FC6"/>
          <w:sz w:val="28"/>
          <w:szCs w:val="28"/>
        </w:rPr>
        <w:t>XXXXXXXXXXXXXXX</w:t>
      </w:r>
      <w:r>
        <w:rPr>
          <w:b/>
          <w:sz w:val="28"/>
          <w:szCs w:val="28"/>
        </w:rPr>
        <w:t>&gt;</w:t>
      </w:r>
    </w:p>
    <w:p w:rsidR="004E4AF8" w:rsidRDefault="004E4AF8">
      <w:pPr>
        <w:jc w:val="center"/>
      </w:pP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&lt;</w:t>
      </w:r>
      <w:r>
        <w:rPr>
          <w:b/>
          <w:color w:val="0F6FC6"/>
          <w:sz w:val="28"/>
          <w:szCs w:val="28"/>
        </w:rPr>
        <w:t>Nome do Projeto / Solução</w:t>
      </w:r>
      <w:r>
        <w:rPr>
          <w:b/>
          <w:sz w:val="28"/>
          <w:szCs w:val="28"/>
        </w:rPr>
        <w:t>&gt;</w:t>
      </w: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&lt;</w:t>
      </w:r>
      <w:r>
        <w:rPr>
          <w:b/>
          <w:color w:val="0F6FC6"/>
          <w:sz w:val="28"/>
          <w:szCs w:val="28"/>
        </w:rPr>
        <w:t>local</w:t>
      </w:r>
      <w:r>
        <w:rPr>
          <w:b/>
          <w:sz w:val="28"/>
          <w:szCs w:val="28"/>
        </w:rPr>
        <w:t>&gt;, &lt;</w:t>
      </w:r>
      <w:r>
        <w:rPr>
          <w:b/>
          <w:color w:val="0F6FC6"/>
          <w:sz w:val="28"/>
          <w:szCs w:val="28"/>
        </w:rPr>
        <w:t>mês</w:t>
      </w:r>
      <w:r>
        <w:rPr>
          <w:b/>
          <w:sz w:val="28"/>
          <w:szCs w:val="28"/>
        </w:rPr>
        <w:t>&gt; de &lt;</w:t>
      </w:r>
      <w:r>
        <w:rPr>
          <w:b/>
          <w:color w:val="0F6FC6"/>
          <w:sz w:val="28"/>
          <w:szCs w:val="28"/>
        </w:rPr>
        <w:t>ano</w:t>
      </w:r>
      <w:r>
        <w:rPr>
          <w:b/>
          <w:sz w:val="28"/>
          <w:szCs w:val="28"/>
        </w:rPr>
        <w:t>&gt;</w:t>
      </w:r>
    </w:p>
    <w:p w:rsidR="004E4AF8" w:rsidRDefault="00D62302">
      <w:pPr>
        <w:spacing w:line="259" w:lineRule="auto"/>
        <w:jc w:val="left"/>
      </w:pPr>
      <w:r>
        <w:br w:type="page"/>
      </w:r>
    </w:p>
    <w:p w:rsidR="004E4AF8" w:rsidRDefault="00D62302">
      <w:pPr>
        <w:jc w:val="center"/>
        <w:rPr>
          <w:b/>
        </w:rPr>
      </w:pPr>
      <w:r>
        <w:rPr>
          <w:b/>
        </w:rPr>
        <w:lastRenderedPageBreak/>
        <w:t>HISTÓRICO DE REVISÕES</w:t>
      </w:r>
    </w:p>
    <w:tbl>
      <w:tblPr>
        <w:tblStyle w:val="afffffffffffffffa"/>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1696"/>
        <w:gridCol w:w="1276"/>
        <w:gridCol w:w="4111"/>
        <w:gridCol w:w="2545"/>
      </w:tblGrid>
      <w:tr w:rsidR="004E4AF8" w:rsidTr="004E4AF8">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t>DATA</w:t>
            </w:r>
          </w:p>
        </w:tc>
        <w:tc>
          <w:tcPr>
            <w:tcW w:w="1276"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VERSÃO</w:t>
            </w:r>
          </w:p>
        </w:tc>
        <w:tc>
          <w:tcPr>
            <w:tcW w:w="4111"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DESCRIÇÃO</w:t>
            </w:r>
          </w:p>
        </w:tc>
        <w:tc>
          <w:tcPr>
            <w:tcW w:w="254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AUTOR</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pPr>
            <w:r>
              <w:t>1.0</w:t>
            </w:r>
          </w:p>
        </w:tc>
        <w:tc>
          <w:tcPr>
            <w:tcW w:w="4111"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color w:val="0F6FC6"/>
              </w:rPr>
            </w:pPr>
            <w:r>
              <w:rPr>
                <w:color w:val="0F6FC6"/>
              </w:rPr>
              <w:t>Finalização da primeira versão do documento</w:t>
            </w:r>
          </w:p>
        </w:tc>
        <w:tc>
          <w:tcPr>
            <w:tcW w:w="25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0F6FC6"/>
              </w:rPr>
            </w:pPr>
            <w:r>
              <w:rPr>
                <w:color w:val="0F6FC6"/>
              </w:rPr>
              <w:t>XXXXXXXXXXX</w:t>
            </w: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pPr>
            <w:r>
              <w:t>2.0</w:t>
            </w:r>
          </w:p>
        </w:tc>
        <w:tc>
          <w:tcPr>
            <w:tcW w:w="4111"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color w:val="0F6FC6"/>
              </w:rPr>
            </w:pPr>
            <w:r>
              <w:rPr>
                <w:color w:val="0F6FC6"/>
              </w:rPr>
              <w:t>Revisão do documento após análise jurídica</w:t>
            </w:r>
          </w:p>
        </w:tc>
        <w:tc>
          <w:tcPr>
            <w:tcW w:w="25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0F6FC6"/>
              </w:rPr>
            </w:pPr>
            <w:r>
              <w:rPr>
                <w:color w:val="0F6FC6"/>
              </w:rPr>
              <w:t>XXXXXXXXXXX</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c>
          <w:tcPr>
            <w:tcW w:w="4111" w:type="dxa"/>
            <w:vAlign w:val="center"/>
          </w:tcPr>
          <w:p w:rsidR="004E4AF8" w:rsidRDefault="004E4AF8">
            <w:pPr>
              <w:cnfStyle w:val="000000100000" w:firstRow="0" w:lastRow="0" w:firstColumn="0" w:lastColumn="0" w:oddVBand="0" w:evenVBand="0" w:oddHBand="1" w:evenHBand="0" w:firstRowFirstColumn="0" w:firstRowLastColumn="0" w:lastRowFirstColumn="0" w:lastRowLastColumn="0"/>
            </w:pPr>
          </w:p>
        </w:tc>
        <w:tc>
          <w:tcPr>
            <w:tcW w:w="2545"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c>
          <w:tcPr>
            <w:tcW w:w="4111" w:type="dxa"/>
            <w:vAlign w:val="center"/>
          </w:tcPr>
          <w:p w:rsidR="004E4AF8" w:rsidRDefault="004E4AF8">
            <w:pPr>
              <w:cnfStyle w:val="000000000000" w:firstRow="0" w:lastRow="0" w:firstColumn="0" w:lastColumn="0" w:oddVBand="0" w:evenVBand="0" w:oddHBand="0" w:evenHBand="0" w:firstRowFirstColumn="0" w:firstRowLastColumn="0" w:lastRowFirstColumn="0" w:lastRowLastColumn="0"/>
            </w:pPr>
          </w:p>
        </w:tc>
        <w:tc>
          <w:tcPr>
            <w:tcW w:w="2545"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r>
    </w:tbl>
    <w:p w:rsidR="004E4AF8" w:rsidRDefault="004E4AF8">
      <w:pPr>
        <w:spacing w:line="259" w:lineRule="auto"/>
        <w:jc w:val="left"/>
      </w:pPr>
    </w:p>
    <w:p w:rsidR="004E4AF8" w:rsidRDefault="00D62302">
      <w:r>
        <w:br w:type="page"/>
      </w:r>
    </w:p>
    <w:tbl>
      <w:tblPr>
        <w:tblStyle w:val="afffffffffffffffb"/>
        <w:tblW w:w="9622"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6088"/>
        <w:gridCol w:w="1134"/>
        <w:gridCol w:w="1275"/>
        <w:gridCol w:w="1125"/>
      </w:tblGrid>
      <w:tr w:rsidR="004E4AF8" w:rsidTr="004E4A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88" w:type="dxa"/>
            <w:vAlign w:val="center"/>
          </w:tcPr>
          <w:p w:rsidR="004E4AF8" w:rsidRDefault="00D62302">
            <w:pPr>
              <w:jc w:val="center"/>
              <w:rPr>
                <w:sz w:val="18"/>
                <w:szCs w:val="18"/>
              </w:rPr>
            </w:pPr>
            <w:r>
              <w:rPr>
                <w:sz w:val="18"/>
                <w:szCs w:val="18"/>
              </w:rPr>
              <w:lastRenderedPageBreak/>
              <w:t>Atos administrativos e documentos</w:t>
            </w:r>
          </w:p>
        </w:tc>
        <w:tc>
          <w:tcPr>
            <w:tcW w:w="1134"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Sim/Não</w:t>
            </w:r>
          </w:p>
        </w:tc>
        <w:tc>
          <w:tcPr>
            <w:tcW w:w="127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Folha do Processo</w:t>
            </w:r>
          </w:p>
        </w:tc>
        <w:tc>
          <w:tcPr>
            <w:tcW w:w="112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Observação</w:t>
            </w: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sz w:val="18"/>
                <w:szCs w:val="18"/>
              </w:rPr>
              <w:t>1. Abertura de processo administrativo devidamente autuado, protocolado e numerado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sz w:val="18"/>
                <w:szCs w:val="18"/>
              </w:rPr>
              <w:t>2. Oficialização da demanda</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 Documento de Oficialização da Demanda - DOD</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2.1.1 Identificação da área demandante</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2.1.2 Identificação e ciência do integrante demandante</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2.1.3 Identificação da demanda</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2.1.4 Alinhamento à Estratégia</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2.1.4.1 Alinhamento à Estratégia da Organização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2.1.4.2 Alinhamento à Estratégia de TI da Organização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2.1.5 Alinhamento ao PDTIC</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2.1.6 Alinhamento ao Plano Anual de Contratações – PAC</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2.1.7 Motivação e justificativa</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2.1.8 Resultados a serem alcançados com a STIC</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2.1.9 Fonte de recursos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2.1.10 Encaminhamento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2.1.11 Aprovação da área competente</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sz w:val="18"/>
                <w:szCs w:val="18"/>
              </w:rPr>
              <w:t>3. Instituída a Equipe de Planejamento da Contratação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3.1 Instituir a Equipe de Planejamento da Contratação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sz w:val="18"/>
                <w:szCs w:val="18"/>
              </w:rPr>
              <w:t>4. Estudos técnicos preliminares</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4.1 Definição e especificação de necessidades e requisitos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4.1.1 Identificação das necessidades de negócio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4.1.2 Identificação das necessidades tecnológicas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4.1.3 Demais requisitos</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4.2 Estimativa de quantidades de bens e serviços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4.3 Análise de soluções possíveis</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4.4 Identificação das soluções possíveis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4.5 Análise Comparativa das soluções</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4.5.1 Se a solução se encontra implantada em outro órgão ou entidade da Administração Pública</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4.5.2 Se a solução está disponível no Portal do Software Público Brasileiro</w:t>
            </w:r>
            <w:r>
              <w:rPr>
                <w:b w:val="0"/>
                <w:sz w:val="18"/>
                <w:szCs w:val="18"/>
              </w:rPr>
              <w:br/>
              <w:t>quando se tratar de software</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4.5.3 Se a solução é composta por software livre ou software público</w:t>
            </w:r>
            <w:r>
              <w:rPr>
                <w:b w:val="0"/>
                <w:sz w:val="18"/>
                <w:szCs w:val="18"/>
              </w:rPr>
              <w:br/>
              <w:t>quando se tratar de software</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4.5.4 Se a solução é aderente às políticas, premissas e especificações técnicas definidas pelos Padrões de governo ePing, eMag, ePWG?</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4.5.5 Se a soluç</w:t>
            </w:r>
            <w:r>
              <w:rPr>
                <w:b w:val="0"/>
                <w:sz w:val="18"/>
                <w:szCs w:val="18"/>
              </w:rPr>
              <w:t>ão é aderente às regulamentações da ICP-Brasil quando houver necessidade de certificação digital</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4.5.6 Se a solução é aderente às orientações, premissas e especificações</w:t>
            </w:r>
            <w:r>
              <w:rPr>
                <w:b w:val="0"/>
                <w:sz w:val="18"/>
                <w:szCs w:val="18"/>
              </w:rPr>
              <w:br/>
              <w:t>técnicas e funcionais do e-ARQ Brasil, quando o objetivo da solução</w:t>
            </w:r>
            <w:r>
              <w:rPr>
                <w:b w:val="0"/>
                <w:sz w:val="18"/>
                <w:szCs w:val="18"/>
              </w:rPr>
              <w:br/>
              <w:t>abranger docum</w:t>
            </w:r>
            <w:r>
              <w:rPr>
                <w:b w:val="0"/>
                <w:sz w:val="18"/>
                <w:szCs w:val="18"/>
              </w:rPr>
              <w:t>entos arquivísticos</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4.6 Pesquisa de preços de mercado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4.7 Registro das soluções consideradas inviáveis</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4.8 Análise comparativa de custos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4.8.1 Cálculo dos custos totais de propriedade das soluções consideradas</w:t>
            </w:r>
            <w:r>
              <w:rPr>
                <w:b w:val="0"/>
                <w:sz w:val="18"/>
                <w:szCs w:val="18"/>
              </w:rPr>
              <w:br/>
              <w:t>viáveis</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4.8.2 Mapa comparativo dos cálculos de propriedade entre as soluções</w:t>
            </w:r>
            <w:r>
              <w:rPr>
                <w:b w:val="0"/>
                <w:sz w:val="18"/>
                <w:szCs w:val="18"/>
              </w:rPr>
              <w:br/>
              <w:t>consideradas viáveis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4.9 Descrição da solução a ser contratada</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4.10 Estimativa de custo total da contratação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4.11 Declaração de viabilidade da solução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4.12 Aprovação da área competente</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sz w:val="18"/>
                <w:szCs w:val="18"/>
              </w:rPr>
              <w:t>5. Termo de Referência</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5.1. Objeto da contratação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5.2. Descrição da solução de TIC</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5.2.1. Bens e serviços que compõem a solução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5.3. Justificativa para a contratação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5.3.1. Contextualização e justificativa da contratação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5.3.2. Alinhamento aos instrumentos de planejamento institucionais</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lastRenderedPageBreak/>
              <w:t>5.3.3. Estimativa da demanda</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5.3.4. Parcelamento da solução de TIC</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5.3.5. Resultados e benefícios a serem alcançados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 Especificação dos requisitos da contratação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5.4.1. Requisitos de negócio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5.4.2. Requisitos de capacitação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5.4.3. Requisitos legais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5.4.4. Requisitos de manutenção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5.4.5. Requisitos temporais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5.4.6. Requisitos de segurança</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5.4.7. Requisitos sociais, ambientais e culturais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5.4.8. Requisitos de arquitetura tecnológica</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5.4.9. Requisitos de projeto e de implementação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5.4.10. Requisitos de implantação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5.4.11. Requisitos de garantia</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5.4.12. Requisitos de experiência profissional</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5.4.13. Requisitos de formação da equipe</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5.4.14. Requisitos de metodologia de trabalho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5.4.15. Requisitos de segurança da informação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5.4.16. Outros requisitos aplicáveis</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5.5. Responsabilidades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5.5.1. Deveres e responsabilidades da contratante</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5.5.2. Deveres e responsabilidades da contratada</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5.5.3. Deveres e responsabilidades do órgão gerenciador da ata de registro de preços</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5.6. Modelo de execução do contrato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5.6.1. Rotinas de execução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5.6.2. Quantidade mínima de bens ou serviços para comparação e controle</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5.6.3. Mecanismos formais de comunicação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5.6.4. Manutenção de sigilo e normas de segurança</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5.7. Modelo de gestão do contrato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5.7.1. Critérios de aceitação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5.7.2. Procedimentos de teste e inspeção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5.7.3. Níveis mínimos de serviço exigidos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5.7.4. Sanções administrativas e procedimentos para retenção ou glosa no</w:t>
            </w:r>
            <w:r>
              <w:rPr>
                <w:b w:val="0"/>
                <w:sz w:val="18"/>
                <w:szCs w:val="18"/>
              </w:rPr>
              <w:br/>
              <w:t>pagamento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5.7.5. Do pagamento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5.8. Estimativa de preços da contratação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5.9. Adequação orçamentária e cronograma físico-financeiro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5.10. Da vigência do contrato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5.11. Do reajuste de preços (quando aplicável)</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5.12. Dos critérios de seleção do fornecedor</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5.12.1. Regime, tipo e modalidade da licitação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5.12.2. Justificativa para a aplicação do direito de preferência e margens de</w:t>
            </w:r>
            <w:r>
              <w:rPr>
                <w:b w:val="0"/>
                <w:sz w:val="18"/>
                <w:szCs w:val="18"/>
              </w:rPr>
              <w:br/>
              <w:t>preferência</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5.12.3. Critérios de qualificação técnica para a habilitação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5.13. Da equipe de planejamento da contratação e da aprovação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sz w:val="18"/>
                <w:szCs w:val="18"/>
              </w:rPr>
              <w:t>6. Seleção do fornecedor</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6.1 Consta a designação do pregoeiro e equipe de apoio</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6.2 Minuta de edital e anexos</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6.2.1 Termo de Referência</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6.2.2 Termo de Contrato</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r w:rsidR="004E4AF8" w:rsidTr="004E4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6.3 Análise e aprovação da minuta de edital e seus anexos pela assessoria</w:t>
            </w:r>
            <w:r>
              <w:rPr>
                <w:b w:val="0"/>
                <w:sz w:val="18"/>
                <w:szCs w:val="18"/>
              </w:rPr>
              <w:br/>
              <w:t>jurídica</w:t>
            </w:r>
          </w:p>
        </w:tc>
        <w:tc>
          <w:tcPr>
            <w:tcW w:w="1134"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c>
          <w:tcPr>
            <w:tcW w:w="1125" w:type="dxa"/>
          </w:tcPr>
          <w:p w:rsidR="004E4AF8" w:rsidRDefault="004E4AF8">
            <w:pPr>
              <w:cnfStyle w:val="000000100000" w:firstRow="0" w:lastRow="0" w:firstColumn="0" w:lastColumn="0" w:oddVBand="0" w:evenVBand="0" w:oddHBand="1" w:evenHBand="0" w:firstRowFirstColumn="0" w:firstRowLastColumn="0" w:lastRowFirstColumn="0" w:lastRowLastColumn="0"/>
              <w:rPr>
                <w:sz w:val="18"/>
                <w:szCs w:val="18"/>
              </w:rPr>
            </w:pPr>
          </w:p>
        </w:tc>
      </w:tr>
      <w:tr w:rsidR="004E4AF8" w:rsidTr="004E4AF8">
        <w:tc>
          <w:tcPr>
            <w:cnfStyle w:val="001000000000" w:firstRow="0" w:lastRow="0" w:firstColumn="1" w:lastColumn="0" w:oddVBand="0" w:evenVBand="0" w:oddHBand="0" w:evenHBand="0" w:firstRowFirstColumn="0" w:firstRowLastColumn="0" w:lastRowFirstColumn="0" w:lastRowLastColumn="0"/>
            <w:tcW w:w="6088" w:type="dxa"/>
          </w:tcPr>
          <w:p w:rsidR="004E4AF8" w:rsidRDefault="00D62302">
            <w:pPr>
              <w:rPr>
                <w:sz w:val="18"/>
                <w:szCs w:val="18"/>
              </w:rPr>
            </w:pPr>
            <w:r>
              <w:rPr>
                <w:b w:val="0"/>
                <w:sz w:val="18"/>
                <w:szCs w:val="18"/>
              </w:rPr>
              <w:t>6.4 Publicação do aviso de edital</w:t>
            </w:r>
          </w:p>
        </w:tc>
        <w:tc>
          <w:tcPr>
            <w:tcW w:w="1134"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tcPr>
          <w:p w:rsidR="004E4AF8" w:rsidRDefault="004E4AF8">
            <w:pPr>
              <w:cnfStyle w:val="000000000000" w:firstRow="0" w:lastRow="0" w:firstColumn="0" w:lastColumn="0" w:oddVBand="0" w:evenVBand="0" w:oddHBand="0" w:evenHBand="0" w:firstRowFirstColumn="0" w:firstRowLastColumn="0" w:lastRowFirstColumn="0" w:lastRowLastColumn="0"/>
              <w:rPr>
                <w:sz w:val="18"/>
                <w:szCs w:val="18"/>
              </w:rPr>
            </w:pPr>
          </w:p>
        </w:tc>
      </w:tr>
    </w:tbl>
    <w:p w:rsidR="004E4AF8" w:rsidRDefault="004E4AF8"/>
    <w:p w:rsidR="004E4AF8" w:rsidRDefault="00D62302">
      <w:pPr>
        <w:spacing w:line="259" w:lineRule="auto"/>
        <w:jc w:val="left"/>
      </w:pPr>
      <w:r>
        <w:br w:type="page"/>
      </w:r>
    </w:p>
    <w:p w:rsidR="004E4AF8" w:rsidRDefault="00D62302">
      <w:pPr>
        <w:pStyle w:val="Ttulo2"/>
        <w:numPr>
          <w:ilvl w:val="1"/>
          <w:numId w:val="5"/>
        </w:numPr>
      </w:pPr>
      <w:bookmarkStart w:id="30" w:name="_heading=h.qsh70q" w:colFirst="0" w:colLast="0"/>
      <w:bookmarkEnd w:id="30"/>
      <w:r>
        <w:lastRenderedPageBreak/>
        <w:t>Plano anual de contratação de soluções de TIC</w:t>
      </w:r>
    </w:p>
    <w:p w:rsidR="004E4AF8" w:rsidRDefault="00D62302">
      <w:pPr>
        <w:jc w:val="center"/>
        <w:rPr>
          <w:b/>
        </w:rPr>
      </w:pPr>
      <w:r>
        <w:rPr>
          <w:b/>
          <w:sz w:val="32"/>
          <w:szCs w:val="32"/>
        </w:rPr>
        <w:t>PLANO ANUAL DE CONTRATAÇÃO DE SOLUÇÕES DE TIC</w:t>
      </w: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Processo Administrativo nº &lt;</w:t>
      </w:r>
      <w:r>
        <w:rPr>
          <w:b/>
          <w:color w:val="0F6FC6"/>
          <w:sz w:val="28"/>
          <w:szCs w:val="28"/>
        </w:rPr>
        <w:t>XXXXXXXXXXXXXXX</w:t>
      </w:r>
      <w:r>
        <w:rPr>
          <w:b/>
          <w:sz w:val="28"/>
          <w:szCs w:val="28"/>
        </w:rPr>
        <w:t>&gt;</w:t>
      </w:r>
    </w:p>
    <w:p w:rsidR="004E4AF8" w:rsidRDefault="004E4AF8">
      <w:pPr>
        <w:jc w:val="center"/>
      </w:pP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&lt;</w:t>
      </w:r>
      <w:r>
        <w:rPr>
          <w:b/>
          <w:color w:val="0F6FC6"/>
          <w:sz w:val="28"/>
          <w:szCs w:val="28"/>
        </w:rPr>
        <w:t>Nome do Projeto / Solução</w:t>
      </w:r>
      <w:r>
        <w:rPr>
          <w:b/>
          <w:sz w:val="28"/>
          <w:szCs w:val="28"/>
        </w:rPr>
        <w:t>&gt;</w:t>
      </w: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&lt;</w:t>
      </w:r>
      <w:r>
        <w:rPr>
          <w:b/>
          <w:color w:val="0F6FC6"/>
          <w:sz w:val="28"/>
          <w:szCs w:val="28"/>
        </w:rPr>
        <w:t>local</w:t>
      </w:r>
      <w:r>
        <w:rPr>
          <w:b/>
          <w:sz w:val="28"/>
          <w:szCs w:val="28"/>
        </w:rPr>
        <w:t>&gt;, &lt;</w:t>
      </w:r>
      <w:r>
        <w:rPr>
          <w:b/>
          <w:color w:val="0F6FC6"/>
          <w:sz w:val="28"/>
          <w:szCs w:val="28"/>
        </w:rPr>
        <w:t>mês</w:t>
      </w:r>
      <w:r>
        <w:rPr>
          <w:b/>
          <w:sz w:val="28"/>
          <w:szCs w:val="28"/>
        </w:rPr>
        <w:t>&gt; de &lt;</w:t>
      </w:r>
      <w:r>
        <w:rPr>
          <w:b/>
          <w:color w:val="0F6FC6"/>
          <w:sz w:val="28"/>
          <w:szCs w:val="28"/>
        </w:rPr>
        <w:t>ano</w:t>
      </w:r>
      <w:r>
        <w:rPr>
          <w:b/>
          <w:sz w:val="28"/>
          <w:szCs w:val="28"/>
        </w:rPr>
        <w:t>&gt;</w:t>
      </w:r>
    </w:p>
    <w:p w:rsidR="004E4AF8" w:rsidRDefault="00D62302">
      <w:pPr>
        <w:spacing w:line="259" w:lineRule="auto"/>
        <w:jc w:val="left"/>
      </w:pPr>
      <w:r>
        <w:br w:type="page"/>
      </w:r>
    </w:p>
    <w:p w:rsidR="004E4AF8" w:rsidRDefault="00D62302">
      <w:pPr>
        <w:jc w:val="center"/>
        <w:rPr>
          <w:b/>
        </w:rPr>
      </w:pPr>
      <w:r>
        <w:rPr>
          <w:b/>
        </w:rPr>
        <w:lastRenderedPageBreak/>
        <w:t>HISTÓRICO DE REVISÕES</w:t>
      </w:r>
    </w:p>
    <w:tbl>
      <w:tblPr>
        <w:tblStyle w:val="afffffffffffffffc"/>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1696"/>
        <w:gridCol w:w="1276"/>
        <w:gridCol w:w="4111"/>
        <w:gridCol w:w="2545"/>
      </w:tblGrid>
      <w:tr w:rsidR="004E4AF8" w:rsidTr="004E4AF8">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t>DATA</w:t>
            </w:r>
          </w:p>
        </w:tc>
        <w:tc>
          <w:tcPr>
            <w:tcW w:w="1276"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VERSÃO</w:t>
            </w:r>
          </w:p>
        </w:tc>
        <w:tc>
          <w:tcPr>
            <w:tcW w:w="4111"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DESCRIÇÃO</w:t>
            </w:r>
          </w:p>
        </w:tc>
        <w:tc>
          <w:tcPr>
            <w:tcW w:w="254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AUTOR</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pPr>
            <w:r>
              <w:t>1.0</w:t>
            </w:r>
          </w:p>
        </w:tc>
        <w:tc>
          <w:tcPr>
            <w:tcW w:w="4111"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color w:val="0F6FC6"/>
              </w:rPr>
            </w:pPr>
            <w:r>
              <w:rPr>
                <w:color w:val="0F6FC6"/>
              </w:rPr>
              <w:t>Finalização da primeira versão do documento</w:t>
            </w:r>
          </w:p>
        </w:tc>
        <w:tc>
          <w:tcPr>
            <w:tcW w:w="25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0F6FC6"/>
              </w:rPr>
            </w:pPr>
            <w:r>
              <w:rPr>
                <w:color w:val="0F6FC6"/>
              </w:rPr>
              <w:t>XXXXXXXXXXX</w:t>
            </w: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pPr>
            <w:r>
              <w:t>2.0</w:t>
            </w:r>
          </w:p>
        </w:tc>
        <w:tc>
          <w:tcPr>
            <w:tcW w:w="4111"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color w:val="0F6FC6"/>
              </w:rPr>
            </w:pPr>
            <w:r>
              <w:rPr>
                <w:color w:val="0F6FC6"/>
              </w:rPr>
              <w:t>Revisão do documento após análise jurídica</w:t>
            </w:r>
          </w:p>
        </w:tc>
        <w:tc>
          <w:tcPr>
            <w:tcW w:w="25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0F6FC6"/>
              </w:rPr>
            </w:pPr>
            <w:r>
              <w:rPr>
                <w:color w:val="0F6FC6"/>
              </w:rPr>
              <w:t>XXXXXXXXXXX</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c>
          <w:tcPr>
            <w:tcW w:w="4111" w:type="dxa"/>
            <w:vAlign w:val="center"/>
          </w:tcPr>
          <w:p w:rsidR="004E4AF8" w:rsidRDefault="004E4AF8">
            <w:pPr>
              <w:cnfStyle w:val="000000100000" w:firstRow="0" w:lastRow="0" w:firstColumn="0" w:lastColumn="0" w:oddVBand="0" w:evenVBand="0" w:oddHBand="1" w:evenHBand="0" w:firstRowFirstColumn="0" w:firstRowLastColumn="0" w:lastRowFirstColumn="0" w:lastRowLastColumn="0"/>
            </w:pPr>
          </w:p>
        </w:tc>
        <w:tc>
          <w:tcPr>
            <w:tcW w:w="2545"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c>
          <w:tcPr>
            <w:tcW w:w="4111" w:type="dxa"/>
            <w:vAlign w:val="center"/>
          </w:tcPr>
          <w:p w:rsidR="004E4AF8" w:rsidRDefault="004E4AF8">
            <w:pPr>
              <w:cnfStyle w:val="000000000000" w:firstRow="0" w:lastRow="0" w:firstColumn="0" w:lastColumn="0" w:oddVBand="0" w:evenVBand="0" w:oddHBand="0" w:evenHBand="0" w:firstRowFirstColumn="0" w:firstRowLastColumn="0" w:lastRowFirstColumn="0" w:lastRowLastColumn="0"/>
            </w:pPr>
          </w:p>
        </w:tc>
        <w:tc>
          <w:tcPr>
            <w:tcW w:w="2545"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r>
    </w:tbl>
    <w:p w:rsidR="004E4AF8" w:rsidRDefault="004E4AF8">
      <w:pPr>
        <w:spacing w:line="259" w:lineRule="auto"/>
        <w:jc w:val="left"/>
      </w:pPr>
    </w:p>
    <w:p w:rsidR="004E4AF8" w:rsidRDefault="00D62302">
      <w:pPr>
        <w:spacing w:line="259" w:lineRule="auto"/>
        <w:jc w:val="left"/>
      </w:pPr>
      <w:r>
        <w:br w:type="page"/>
      </w:r>
    </w:p>
    <w:p w:rsidR="004E4AF8" w:rsidRDefault="00D62302">
      <w:pPr>
        <w:jc w:val="center"/>
        <w:rPr>
          <w:b/>
        </w:rPr>
      </w:pPr>
      <w:r>
        <w:rPr>
          <w:b/>
          <w:sz w:val="32"/>
          <w:szCs w:val="32"/>
        </w:rPr>
        <w:lastRenderedPageBreak/>
        <w:t>PLANO ANUAL DE CONTRATAÇÃO DE SOLUÇÕES DE TIC</w:t>
      </w:r>
    </w:p>
    <w:p w:rsidR="004E4AF8" w:rsidRDefault="004E4AF8"/>
    <w:tbl>
      <w:tblPr>
        <w:tblStyle w:val="afffffffffffffffd"/>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846"/>
        <w:gridCol w:w="992"/>
        <w:gridCol w:w="1134"/>
        <w:gridCol w:w="1559"/>
        <w:gridCol w:w="1485"/>
        <w:gridCol w:w="1204"/>
        <w:gridCol w:w="1204"/>
        <w:gridCol w:w="1204"/>
      </w:tblGrid>
      <w:tr w:rsidR="004E4AF8" w:rsidTr="004E4AF8">
        <w:trPr>
          <w:cnfStyle w:val="100000000000" w:firstRow="1" w:lastRow="0" w:firstColumn="0" w:lastColumn="0" w:oddVBand="0" w:evenVBand="0" w:oddHBand="0" w:evenHBand="0" w:firstRowFirstColumn="0" w:firstRowLastColumn="0" w:lastRowFirstColumn="0" w:lastRowLastColumn="0"/>
          <w:cantSplit/>
          <w:trHeight w:val="1437"/>
        </w:trPr>
        <w:tc>
          <w:tcPr>
            <w:cnfStyle w:val="001000000000" w:firstRow="0" w:lastRow="0" w:firstColumn="1" w:lastColumn="0" w:oddVBand="0" w:evenVBand="0" w:oddHBand="0" w:evenHBand="0" w:firstRowFirstColumn="0" w:firstRowLastColumn="0" w:lastRowFirstColumn="0" w:lastRowLastColumn="0"/>
            <w:tcW w:w="846" w:type="dxa"/>
            <w:vAlign w:val="center"/>
          </w:tcPr>
          <w:p w:rsidR="004E4AF8" w:rsidRDefault="00D62302">
            <w:pPr>
              <w:ind w:left="113" w:right="113"/>
              <w:jc w:val="center"/>
              <w:rPr>
                <w:sz w:val="16"/>
                <w:szCs w:val="16"/>
              </w:rPr>
            </w:pPr>
            <w:r>
              <w:rPr>
                <w:sz w:val="16"/>
                <w:szCs w:val="16"/>
              </w:rPr>
              <w:t>SEQ</w:t>
            </w:r>
          </w:p>
        </w:tc>
        <w:tc>
          <w:tcPr>
            <w:tcW w:w="992" w:type="dxa"/>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PRIORIZAÇÃO</w:t>
            </w:r>
          </w:p>
        </w:tc>
        <w:tc>
          <w:tcPr>
            <w:tcW w:w="1134" w:type="dxa"/>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TEMA</w:t>
            </w:r>
          </w:p>
        </w:tc>
        <w:tc>
          <w:tcPr>
            <w:tcW w:w="1559" w:type="dxa"/>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DESCRIÇÃO DO OBJETO</w:t>
            </w:r>
          </w:p>
        </w:tc>
        <w:tc>
          <w:tcPr>
            <w:tcW w:w="1485" w:type="dxa"/>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ESTIMATIVA PRELIMINAR DO CUSTO</w:t>
            </w:r>
          </w:p>
        </w:tc>
        <w:tc>
          <w:tcPr>
            <w:tcW w:w="1204" w:type="dxa"/>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UNIDADE DEMANDANTE</w:t>
            </w:r>
          </w:p>
        </w:tc>
        <w:tc>
          <w:tcPr>
            <w:tcW w:w="1204" w:type="dxa"/>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JUSTIFICATIVA RESUMIDA DA NECESSIDADE</w:t>
            </w:r>
          </w:p>
        </w:tc>
        <w:tc>
          <w:tcPr>
            <w:tcW w:w="1204" w:type="dxa"/>
            <w:vAlign w:val="center"/>
          </w:tcPr>
          <w:p w:rsidR="004E4AF8" w:rsidRDefault="00D62302">
            <w:pPr>
              <w:ind w:left="113" w:right="113"/>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CONTRATAÇÃO NOVA, RECORRENTE OU RENOVAÇÃO</w:t>
            </w:r>
          </w:p>
        </w:tc>
      </w:tr>
      <w:tr w:rsidR="004E4AF8" w:rsidTr="004E4AF8">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846" w:type="dxa"/>
            <w:vAlign w:val="center"/>
          </w:tcPr>
          <w:p w:rsidR="004E4AF8" w:rsidRDefault="00D62302">
            <w:pPr>
              <w:jc w:val="center"/>
              <w:rPr>
                <w:sz w:val="20"/>
                <w:szCs w:val="20"/>
              </w:rPr>
            </w:pPr>
            <w:r>
              <w:rPr>
                <w:sz w:val="20"/>
                <w:szCs w:val="20"/>
              </w:rPr>
              <w:t>1</w:t>
            </w:r>
          </w:p>
        </w:tc>
        <w:tc>
          <w:tcPr>
            <w:tcW w:w="992"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85"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204"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204"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204"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4E4AF8" w:rsidTr="004E4AF8">
        <w:trPr>
          <w:trHeight w:val="699"/>
        </w:trPr>
        <w:tc>
          <w:tcPr>
            <w:cnfStyle w:val="001000000000" w:firstRow="0" w:lastRow="0" w:firstColumn="1" w:lastColumn="0" w:oddVBand="0" w:evenVBand="0" w:oddHBand="0" w:evenHBand="0" w:firstRowFirstColumn="0" w:firstRowLastColumn="0" w:lastRowFirstColumn="0" w:lastRowLastColumn="0"/>
            <w:tcW w:w="846" w:type="dxa"/>
            <w:vAlign w:val="center"/>
          </w:tcPr>
          <w:p w:rsidR="004E4AF8" w:rsidRDefault="00D62302">
            <w:pPr>
              <w:jc w:val="center"/>
              <w:rPr>
                <w:sz w:val="20"/>
                <w:szCs w:val="20"/>
              </w:rPr>
            </w:pPr>
            <w:r>
              <w:rPr>
                <w:sz w:val="20"/>
                <w:szCs w:val="20"/>
              </w:rPr>
              <w:t>2</w:t>
            </w:r>
          </w:p>
        </w:tc>
        <w:tc>
          <w:tcPr>
            <w:tcW w:w="992"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85"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04"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04"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04"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4E4AF8" w:rsidTr="004E4AF8">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846" w:type="dxa"/>
            <w:vAlign w:val="center"/>
          </w:tcPr>
          <w:p w:rsidR="004E4AF8" w:rsidRDefault="00D62302">
            <w:pPr>
              <w:jc w:val="center"/>
              <w:rPr>
                <w:sz w:val="20"/>
                <w:szCs w:val="20"/>
              </w:rPr>
            </w:pPr>
            <w:r>
              <w:rPr>
                <w:sz w:val="20"/>
                <w:szCs w:val="20"/>
              </w:rPr>
              <w:t>3</w:t>
            </w:r>
          </w:p>
        </w:tc>
        <w:tc>
          <w:tcPr>
            <w:tcW w:w="992"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85"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204"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204"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204"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4E4AF8" w:rsidTr="004E4AF8">
        <w:trPr>
          <w:trHeight w:val="699"/>
        </w:trPr>
        <w:tc>
          <w:tcPr>
            <w:cnfStyle w:val="001000000000" w:firstRow="0" w:lastRow="0" w:firstColumn="1" w:lastColumn="0" w:oddVBand="0" w:evenVBand="0" w:oddHBand="0" w:evenHBand="0" w:firstRowFirstColumn="0" w:firstRowLastColumn="0" w:lastRowFirstColumn="0" w:lastRowLastColumn="0"/>
            <w:tcW w:w="846" w:type="dxa"/>
            <w:vAlign w:val="center"/>
          </w:tcPr>
          <w:p w:rsidR="004E4AF8" w:rsidRDefault="00D62302">
            <w:pPr>
              <w:jc w:val="center"/>
              <w:rPr>
                <w:sz w:val="20"/>
                <w:szCs w:val="20"/>
              </w:rPr>
            </w:pPr>
            <w:r>
              <w:rPr>
                <w:sz w:val="20"/>
                <w:szCs w:val="20"/>
              </w:rPr>
              <w:t>4</w:t>
            </w:r>
          </w:p>
        </w:tc>
        <w:tc>
          <w:tcPr>
            <w:tcW w:w="992"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85"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04"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04"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04"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4E4AF8" w:rsidRDefault="004E4AF8"/>
    <w:tbl>
      <w:tblPr>
        <w:tblStyle w:val="afffffffffffffffe"/>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38"/>
        <w:gridCol w:w="5812"/>
        <w:gridCol w:w="1978"/>
      </w:tblGrid>
      <w:tr w:rsidR="004E4AF8">
        <w:tc>
          <w:tcPr>
            <w:tcW w:w="1838" w:type="dxa"/>
            <w:tcBorders>
              <w:right w:val="single" w:sz="4" w:space="0" w:color="000000"/>
            </w:tcBorders>
          </w:tcPr>
          <w:p w:rsidR="004E4AF8" w:rsidRDefault="004E4AF8"/>
        </w:tc>
        <w:tc>
          <w:tcPr>
            <w:tcW w:w="5812" w:type="dxa"/>
            <w:tcBorders>
              <w:left w:val="single" w:sz="4" w:space="0" w:color="000000"/>
              <w:bottom w:val="single" w:sz="4" w:space="0" w:color="000000"/>
              <w:right w:val="single" w:sz="4" w:space="0" w:color="000000"/>
            </w:tcBorders>
            <w:shd w:val="clear" w:color="auto" w:fill="D9D9D9"/>
          </w:tcPr>
          <w:p w:rsidR="004E4AF8" w:rsidRDefault="00D62302">
            <w:pPr>
              <w:rPr>
                <w:b/>
              </w:rPr>
            </w:pPr>
            <w:r>
              <w:rPr>
                <w:b/>
              </w:rPr>
              <w:t>APROVAÇÃO E ASSINATURA</w:t>
            </w:r>
          </w:p>
          <w:p w:rsidR="004E4AF8" w:rsidRDefault="004E4AF8"/>
        </w:tc>
        <w:tc>
          <w:tcPr>
            <w:tcW w:w="1978" w:type="dxa"/>
            <w:tcBorders>
              <w:left w:val="single" w:sz="4" w:space="0" w:color="000000"/>
            </w:tcBorders>
          </w:tcPr>
          <w:p w:rsidR="004E4AF8" w:rsidRDefault="004E4AF8"/>
        </w:tc>
      </w:tr>
      <w:tr w:rsidR="004E4AF8">
        <w:tc>
          <w:tcPr>
            <w:tcW w:w="1838" w:type="dxa"/>
          </w:tcPr>
          <w:p w:rsidR="004E4AF8" w:rsidRDefault="004E4AF8"/>
        </w:tc>
        <w:tc>
          <w:tcPr>
            <w:tcW w:w="5812" w:type="dxa"/>
            <w:tcBorders>
              <w:top w:val="single" w:sz="4" w:space="0" w:color="000000"/>
            </w:tcBorders>
            <w:shd w:val="clear" w:color="auto" w:fill="FFFFFF"/>
          </w:tcPr>
          <w:p w:rsidR="004E4AF8" w:rsidRDefault="004E4AF8"/>
        </w:tc>
        <w:tc>
          <w:tcPr>
            <w:tcW w:w="1978" w:type="dxa"/>
            <w:tcBorders>
              <w:left w:val="nil"/>
            </w:tcBorders>
          </w:tcPr>
          <w:p w:rsidR="004E4AF8" w:rsidRDefault="004E4AF8"/>
        </w:tc>
      </w:tr>
      <w:tr w:rsidR="004E4AF8">
        <w:tc>
          <w:tcPr>
            <w:tcW w:w="1838" w:type="dxa"/>
            <w:tcBorders>
              <w:right w:val="single" w:sz="4" w:space="0" w:color="000000"/>
            </w:tcBorders>
          </w:tcPr>
          <w:p w:rsidR="004E4AF8" w:rsidRDefault="004E4AF8"/>
        </w:tc>
        <w:tc>
          <w:tcPr>
            <w:tcW w:w="5812" w:type="dxa"/>
            <w:tcBorders>
              <w:left w:val="single" w:sz="4" w:space="0" w:color="000000"/>
              <w:right w:val="single" w:sz="4" w:space="0" w:color="000000"/>
            </w:tcBorders>
            <w:shd w:val="clear" w:color="auto" w:fill="BFBFBF"/>
          </w:tcPr>
          <w:p w:rsidR="004E4AF8" w:rsidRDefault="00D62302">
            <w:pPr>
              <w:rPr>
                <w:b/>
              </w:rPr>
            </w:pPr>
            <w:r>
              <w:rPr>
                <w:b/>
              </w:rPr>
              <w:t>AUTORIDADE MAXIMA DA ÁREA DE TIC</w:t>
            </w:r>
          </w:p>
          <w:p w:rsidR="004E4AF8" w:rsidRDefault="00D62302">
            <w:pPr>
              <w:rPr>
                <w:color w:val="0F6FC6"/>
                <w:sz w:val="20"/>
                <w:szCs w:val="20"/>
              </w:rPr>
            </w:pPr>
            <w:r>
              <w:rPr>
                <w:color w:val="0F6FC6"/>
                <w:sz w:val="20"/>
                <w:szCs w:val="20"/>
              </w:rPr>
              <w:t>(OU AUTORIDADE SUPERIOR, SE APLICÁVEL - § XXº DO ART. XX)</w:t>
            </w:r>
          </w:p>
          <w:p w:rsidR="004E4AF8" w:rsidRDefault="004E4AF8">
            <w:pPr>
              <w:rPr>
                <w:sz w:val="20"/>
                <w:szCs w:val="20"/>
              </w:rPr>
            </w:pPr>
          </w:p>
        </w:tc>
        <w:tc>
          <w:tcPr>
            <w:tcW w:w="1978" w:type="dxa"/>
            <w:tcBorders>
              <w:left w:val="single" w:sz="4" w:space="0" w:color="000000"/>
            </w:tcBorders>
          </w:tcPr>
          <w:p w:rsidR="004E4AF8" w:rsidRDefault="004E4AF8"/>
        </w:tc>
      </w:tr>
      <w:tr w:rsidR="004E4AF8">
        <w:tc>
          <w:tcPr>
            <w:tcW w:w="1838" w:type="dxa"/>
            <w:tcBorders>
              <w:right w:val="single" w:sz="4" w:space="0" w:color="000000"/>
            </w:tcBorders>
          </w:tcPr>
          <w:p w:rsidR="004E4AF8" w:rsidRDefault="004E4AF8"/>
        </w:tc>
        <w:tc>
          <w:tcPr>
            <w:tcW w:w="5812" w:type="dxa"/>
            <w:tcBorders>
              <w:left w:val="single" w:sz="4" w:space="0" w:color="000000"/>
              <w:bottom w:val="single" w:sz="4" w:space="0" w:color="000000"/>
              <w:right w:val="single" w:sz="4" w:space="0" w:color="000000"/>
            </w:tcBorders>
            <w:shd w:val="clear" w:color="auto" w:fill="FFFFFF"/>
          </w:tcPr>
          <w:p w:rsidR="004E4AF8" w:rsidRDefault="004E4AF8"/>
          <w:p w:rsidR="004E4AF8" w:rsidRDefault="004E4AF8"/>
          <w:p w:rsidR="004E4AF8" w:rsidRDefault="00D62302">
            <w:r>
              <w:t>_________________________________________</w:t>
            </w:r>
          </w:p>
          <w:p w:rsidR="004E4AF8" w:rsidRDefault="00D62302">
            <w:r>
              <w:t>&lt;</w:t>
            </w:r>
            <w:r>
              <w:rPr>
                <w:color w:val="0F6FC6"/>
              </w:rPr>
              <w:t>nome da autoridade</w:t>
            </w:r>
            <w:r>
              <w:t>&gt;</w:t>
            </w:r>
          </w:p>
          <w:p w:rsidR="004E4AF8" w:rsidRDefault="00D62302">
            <w:r>
              <w:rPr>
                <w:b/>
              </w:rPr>
              <w:t>Matrícula</w:t>
            </w:r>
            <w:r>
              <w:t>: &lt;</w:t>
            </w:r>
            <w:r>
              <w:rPr>
                <w:color w:val="0F6FC6"/>
              </w:rPr>
              <w:t>XXXXXXXXX</w:t>
            </w:r>
            <w:r>
              <w:t>&gt;</w:t>
            </w:r>
          </w:p>
          <w:p w:rsidR="004E4AF8" w:rsidRDefault="004E4AF8"/>
          <w:p w:rsidR="004E4AF8" w:rsidRDefault="00D62302">
            <w:r>
              <w:t>&lt;</w:t>
            </w:r>
            <w:r>
              <w:rPr>
                <w:color w:val="0F6FC6"/>
              </w:rPr>
              <w:t>Local</w:t>
            </w:r>
            <w:r>
              <w:t>&gt;, &lt;</w:t>
            </w:r>
            <w:r>
              <w:rPr>
                <w:color w:val="0F6FC6"/>
              </w:rPr>
              <w:t>dia</w:t>
            </w:r>
            <w:r>
              <w:t>&gt; de &lt;</w:t>
            </w:r>
            <w:r>
              <w:rPr>
                <w:color w:val="0F6FC6"/>
              </w:rPr>
              <w:t>mês</w:t>
            </w:r>
            <w:r>
              <w:t>&gt; de &lt;</w:t>
            </w:r>
            <w:r>
              <w:rPr>
                <w:color w:val="0F6FC6"/>
              </w:rPr>
              <w:t>ano</w:t>
            </w:r>
            <w:r>
              <w:t>&gt;.</w:t>
            </w:r>
          </w:p>
          <w:p w:rsidR="004E4AF8" w:rsidRDefault="004E4AF8"/>
        </w:tc>
        <w:tc>
          <w:tcPr>
            <w:tcW w:w="1978" w:type="dxa"/>
            <w:tcBorders>
              <w:left w:val="single" w:sz="4" w:space="0" w:color="000000"/>
            </w:tcBorders>
          </w:tcPr>
          <w:p w:rsidR="004E4AF8" w:rsidRDefault="004E4AF8"/>
        </w:tc>
      </w:tr>
    </w:tbl>
    <w:p w:rsidR="004E4AF8" w:rsidRDefault="004E4AF8"/>
    <w:p w:rsidR="004E4AF8" w:rsidRDefault="00D62302">
      <w:pPr>
        <w:rPr>
          <w:rFonts w:ascii="Bahnschrift" w:eastAsia="Bahnschrift" w:hAnsi="Bahnschrift" w:cs="Bahnschrift"/>
          <w:smallCaps/>
          <w:color w:val="2191C9"/>
          <w:sz w:val="28"/>
          <w:szCs w:val="28"/>
        </w:rPr>
      </w:pPr>
      <w:r>
        <w:br w:type="page"/>
      </w:r>
    </w:p>
    <w:p w:rsidR="004E4AF8" w:rsidRDefault="00D62302">
      <w:pPr>
        <w:jc w:val="center"/>
      </w:pPr>
      <w:r>
        <w:rPr>
          <w:b/>
        </w:rPr>
        <w:lastRenderedPageBreak/>
        <w:t>Documento de Oficialização da Demanda – DOD</w:t>
      </w:r>
    </w:p>
    <w:p w:rsidR="004E4AF8" w:rsidRDefault="004E4AF8">
      <w:pPr>
        <w:spacing w:line="259" w:lineRule="auto"/>
        <w:jc w:val="left"/>
      </w:pPr>
    </w:p>
    <w:p w:rsidR="004E4AF8" w:rsidRDefault="00D62302">
      <w:pPr>
        <w:jc w:val="center"/>
        <w:rPr>
          <w:b/>
        </w:rPr>
      </w:pPr>
      <w:r>
        <w:rPr>
          <w:b/>
        </w:rPr>
        <w:t>HISTÓRICO DE REVISÕES</w:t>
      </w:r>
    </w:p>
    <w:tbl>
      <w:tblPr>
        <w:tblStyle w:val="affffffffffffffff"/>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1696"/>
        <w:gridCol w:w="1276"/>
        <w:gridCol w:w="4111"/>
        <w:gridCol w:w="2545"/>
      </w:tblGrid>
      <w:tr w:rsidR="004E4AF8" w:rsidTr="004E4AF8">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t>DATA</w:t>
            </w:r>
          </w:p>
        </w:tc>
        <w:tc>
          <w:tcPr>
            <w:tcW w:w="1276"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VERSÃO</w:t>
            </w:r>
          </w:p>
        </w:tc>
        <w:tc>
          <w:tcPr>
            <w:tcW w:w="4111"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DESCRIÇÃO</w:t>
            </w:r>
          </w:p>
        </w:tc>
        <w:tc>
          <w:tcPr>
            <w:tcW w:w="254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AUTOR</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pPr>
            <w:r>
              <w:t>1.0</w:t>
            </w:r>
          </w:p>
        </w:tc>
        <w:tc>
          <w:tcPr>
            <w:tcW w:w="4111"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color w:val="0F6FC6"/>
              </w:rPr>
            </w:pPr>
            <w:r>
              <w:rPr>
                <w:color w:val="0F6FC6"/>
              </w:rPr>
              <w:t>Finalização da primeira versão do documento</w:t>
            </w:r>
          </w:p>
        </w:tc>
        <w:tc>
          <w:tcPr>
            <w:tcW w:w="25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0F6FC6"/>
              </w:rPr>
            </w:pPr>
            <w:r>
              <w:rPr>
                <w:color w:val="0F6FC6"/>
              </w:rPr>
              <w:t>XXXXXXXXXXX</w:t>
            </w: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pPr>
            <w:r>
              <w:t>2.0</w:t>
            </w:r>
          </w:p>
        </w:tc>
        <w:tc>
          <w:tcPr>
            <w:tcW w:w="4111"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color w:val="0F6FC6"/>
              </w:rPr>
            </w:pPr>
            <w:r>
              <w:rPr>
                <w:color w:val="0F6FC6"/>
              </w:rPr>
              <w:t>Revisão do documento após análise jurídica</w:t>
            </w:r>
          </w:p>
        </w:tc>
        <w:tc>
          <w:tcPr>
            <w:tcW w:w="25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0F6FC6"/>
              </w:rPr>
            </w:pPr>
            <w:r>
              <w:rPr>
                <w:color w:val="0F6FC6"/>
              </w:rPr>
              <w:t>XXXXXXXXXXX</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c>
          <w:tcPr>
            <w:tcW w:w="4111" w:type="dxa"/>
            <w:vAlign w:val="center"/>
          </w:tcPr>
          <w:p w:rsidR="004E4AF8" w:rsidRDefault="004E4AF8">
            <w:pPr>
              <w:cnfStyle w:val="000000100000" w:firstRow="0" w:lastRow="0" w:firstColumn="0" w:lastColumn="0" w:oddVBand="0" w:evenVBand="0" w:oddHBand="1" w:evenHBand="0" w:firstRowFirstColumn="0" w:firstRowLastColumn="0" w:lastRowFirstColumn="0" w:lastRowLastColumn="0"/>
            </w:pPr>
          </w:p>
        </w:tc>
        <w:tc>
          <w:tcPr>
            <w:tcW w:w="2545"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c>
          <w:tcPr>
            <w:tcW w:w="4111" w:type="dxa"/>
            <w:vAlign w:val="center"/>
          </w:tcPr>
          <w:p w:rsidR="004E4AF8" w:rsidRDefault="004E4AF8">
            <w:pPr>
              <w:cnfStyle w:val="000000000000" w:firstRow="0" w:lastRow="0" w:firstColumn="0" w:lastColumn="0" w:oddVBand="0" w:evenVBand="0" w:oddHBand="0" w:evenHBand="0" w:firstRowFirstColumn="0" w:firstRowLastColumn="0" w:lastRowFirstColumn="0" w:lastRowLastColumn="0"/>
            </w:pPr>
          </w:p>
        </w:tc>
        <w:tc>
          <w:tcPr>
            <w:tcW w:w="2545"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r>
    </w:tbl>
    <w:p w:rsidR="004E4AF8" w:rsidRDefault="004E4AF8">
      <w:pPr>
        <w:spacing w:line="259" w:lineRule="auto"/>
        <w:jc w:val="left"/>
      </w:pPr>
    </w:p>
    <w:p w:rsidR="004E4AF8" w:rsidRDefault="00D62302">
      <w:pPr>
        <w:spacing w:line="259" w:lineRule="auto"/>
        <w:jc w:val="left"/>
      </w:pPr>
      <w:r>
        <w:br w:type="page"/>
      </w:r>
    </w:p>
    <w:p w:rsidR="004E4AF8" w:rsidRDefault="00D62302">
      <w:pPr>
        <w:jc w:val="center"/>
        <w:rPr>
          <w:b/>
        </w:rPr>
      </w:pPr>
      <w:r>
        <w:rPr>
          <w:b/>
          <w:sz w:val="32"/>
          <w:szCs w:val="32"/>
        </w:rPr>
        <w:lastRenderedPageBreak/>
        <w:t>DOCUMENTO DE OFICIALIZAÇÃO DA DEMANDA - DOD</w:t>
      </w:r>
    </w:p>
    <w:tbl>
      <w:tblPr>
        <w:tblStyle w:val="affffffffffffffff0"/>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jc w:val="center"/>
              <w:rPr>
                <w:b/>
              </w:rPr>
            </w:pPr>
            <w:r>
              <w:rPr>
                <w:b/>
              </w:rPr>
              <w:t>INTRODUÇÃO</w:t>
            </w:r>
          </w:p>
        </w:tc>
      </w:tr>
      <w:tr w:rsidR="004E4AF8">
        <w:trPr>
          <w:trHeight w:val="1899"/>
        </w:trPr>
        <w:tc>
          <w:tcPr>
            <w:tcW w:w="9628" w:type="dxa"/>
            <w:vAlign w:val="center"/>
          </w:tcPr>
          <w:p w:rsidR="004E4AF8" w:rsidRDefault="00D62302">
            <w:pPr>
              <w:spacing w:line="259" w:lineRule="auto"/>
            </w:pPr>
            <w:r>
              <w:t xml:space="preserve">Em conformidade com o art. </w:t>
            </w:r>
            <w:r>
              <w:rPr>
                <w:color w:val="0F6FC6"/>
              </w:rPr>
              <w:t xml:space="preserve">XX </w:t>
            </w:r>
            <w:r>
              <w:t xml:space="preserve">da Resolução CNJ n° </w:t>
            </w:r>
            <w:r>
              <w:rPr>
                <w:color w:val="0F6FC6"/>
              </w:rPr>
              <w:t>XXX</w:t>
            </w:r>
            <w:r>
              <w:t xml:space="preserve">, de </w:t>
            </w:r>
            <w:r>
              <w:rPr>
                <w:color w:val="0F6FC6"/>
              </w:rPr>
              <w:t xml:space="preserve">XX </w:t>
            </w:r>
            <w:r>
              <w:t xml:space="preserve">de </w:t>
            </w:r>
            <w:r>
              <w:rPr>
                <w:color w:val="0F6FC6"/>
              </w:rPr>
              <w:t xml:space="preserve">XXX </w:t>
            </w:r>
            <w:r>
              <w:t xml:space="preserve">de </w:t>
            </w:r>
            <w:r>
              <w:rPr>
                <w:color w:val="0F6FC6"/>
              </w:rPr>
              <w:t>20XX</w:t>
            </w:r>
            <w:r>
              <w:t>, a fase de Planejamento da Contratação terá início com o recebimento do Documento de Oficialização da Demanda pela Área de TIC. Este documento deverá ser elaborado pela Área Demandante da solução.</w:t>
            </w:r>
          </w:p>
        </w:tc>
      </w:tr>
    </w:tbl>
    <w:p w:rsidR="004E4AF8" w:rsidRDefault="004E4AF8">
      <w:pPr>
        <w:spacing w:after="0" w:line="240" w:lineRule="auto"/>
        <w:jc w:val="left"/>
      </w:pPr>
    </w:p>
    <w:tbl>
      <w:tblPr>
        <w:tblStyle w:val="affffffffffffffff1"/>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jc w:val="center"/>
              <w:rPr>
                <w:b/>
              </w:rPr>
            </w:pPr>
            <w:r>
              <w:rPr>
                <w:b/>
              </w:rPr>
              <w:t xml:space="preserve">PREENCHIMENTO PELA ÁREA </w:t>
            </w:r>
            <w:r>
              <w:rPr>
                <w:b/>
                <w:sz w:val="20"/>
                <w:szCs w:val="20"/>
              </w:rPr>
              <w:t>DEMANDANTE</w:t>
            </w:r>
          </w:p>
        </w:tc>
      </w:tr>
    </w:tbl>
    <w:p w:rsidR="004E4AF8" w:rsidRDefault="004E4AF8">
      <w:pPr>
        <w:spacing w:after="0" w:line="240" w:lineRule="auto"/>
        <w:jc w:val="left"/>
      </w:pPr>
    </w:p>
    <w:tbl>
      <w:tblPr>
        <w:tblStyle w:val="affffffffffffffff2"/>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6437"/>
        <w:gridCol w:w="3191"/>
      </w:tblGrid>
      <w:tr w:rsidR="004E4AF8">
        <w:tc>
          <w:tcPr>
            <w:tcW w:w="9628" w:type="dxa"/>
            <w:gridSpan w:val="2"/>
            <w:tcBorders>
              <w:top w:val="single" w:sz="4" w:space="0" w:color="000000"/>
            </w:tcBorders>
            <w:shd w:val="clear" w:color="auto" w:fill="BFBFBF"/>
          </w:tcPr>
          <w:p w:rsidR="004E4AF8" w:rsidRDefault="00D62302">
            <w:pPr>
              <w:spacing w:line="259" w:lineRule="auto"/>
              <w:jc w:val="left"/>
              <w:rPr>
                <w:b/>
              </w:rPr>
            </w:pPr>
            <w:r>
              <w:rPr>
                <w:b/>
              </w:rPr>
              <w:t xml:space="preserve">1 – IDENTIFICAÇÃO DA ÁREA </w:t>
            </w:r>
            <w:r>
              <w:rPr>
                <w:b/>
                <w:sz w:val="20"/>
                <w:szCs w:val="20"/>
              </w:rPr>
              <w:t>DEMANDANTE</w:t>
            </w:r>
          </w:p>
        </w:tc>
      </w:tr>
      <w:tr w:rsidR="004E4AF8">
        <w:tc>
          <w:tcPr>
            <w:tcW w:w="9628" w:type="dxa"/>
            <w:gridSpan w:val="2"/>
          </w:tcPr>
          <w:p w:rsidR="004E4AF8" w:rsidRDefault="00D62302">
            <w:pPr>
              <w:spacing w:line="259" w:lineRule="auto"/>
              <w:jc w:val="left"/>
              <w:rPr>
                <w:sz w:val="18"/>
                <w:szCs w:val="18"/>
              </w:rPr>
            </w:pPr>
            <w:r>
              <w:rPr>
                <w:sz w:val="18"/>
                <w:szCs w:val="18"/>
              </w:rPr>
              <w:t>Área Demandante (Unidade/Diretoria/Coordenação/Divisão/Seção)</w:t>
            </w:r>
          </w:p>
          <w:p w:rsidR="004E4AF8" w:rsidRDefault="004E4AF8">
            <w:pPr>
              <w:spacing w:line="259" w:lineRule="auto"/>
              <w:jc w:val="left"/>
            </w:pPr>
          </w:p>
          <w:p w:rsidR="004E4AF8" w:rsidRDefault="004E4AF8">
            <w:pPr>
              <w:spacing w:line="259" w:lineRule="auto"/>
              <w:jc w:val="left"/>
            </w:pPr>
          </w:p>
        </w:tc>
      </w:tr>
      <w:tr w:rsidR="004E4AF8">
        <w:tc>
          <w:tcPr>
            <w:tcW w:w="6437" w:type="dxa"/>
          </w:tcPr>
          <w:p w:rsidR="004E4AF8" w:rsidRDefault="00D62302">
            <w:pPr>
              <w:spacing w:line="259" w:lineRule="auto"/>
              <w:jc w:val="left"/>
              <w:rPr>
                <w:sz w:val="18"/>
                <w:szCs w:val="18"/>
              </w:rPr>
            </w:pPr>
            <w:r>
              <w:rPr>
                <w:sz w:val="18"/>
                <w:szCs w:val="18"/>
              </w:rPr>
              <w:t>Responsável pela demanda</w:t>
            </w:r>
          </w:p>
          <w:p w:rsidR="004E4AF8" w:rsidRDefault="004E4AF8">
            <w:pPr>
              <w:spacing w:line="259" w:lineRule="auto"/>
              <w:jc w:val="left"/>
              <w:rPr>
                <w:sz w:val="18"/>
                <w:szCs w:val="18"/>
              </w:rPr>
            </w:pPr>
          </w:p>
          <w:p w:rsidR="004E4AF8" w:rsidRDefault="004E4AF8">
            <w:pPr>
              <w:spacing w:line="259" w:lineRule="auto"/>
              <w:jc w:val="left"/>
              <w:rPr>
                <w:sz w:val="18"/>
                <w:szCs w:val="18"/>
              </w:rPr>
            </w:pPr>
          </w:p>
        </w:tc>
        <w:tc>
          <w:tcPr>
            <w:tcW w:w="3191" w:type="dxa"/>
          </w:tcPr>
          <w:p w:rsidR="004E4AF8" w:rsidRDefault="00D62302">
            <w:pPr>
              <w:spacing w:line="259" w:lineRule="auto"/>
              <w:jc w:val="left"/>
              <w:rPr>
                <w:sz w:val="18"/>
                <w:szCs w:val="18"/>
              </w:rPr>
            </w:pPr>
            <w:r>
              <w:rPr>
                <w:sz w:val="18"/>
                <w:szCs w:val="18"/>
              </w:rPr>
              <w:t>Matrícula</w:t>
            </w:r>
          </w:p>
          <w:p w:rsidR="004E4AF8" w:rsidRDefault="004E4AF8">
            <w:pPr>
              <w:spacing w:line="259" w:lineRule="auto"/>
              <w:jc w:val="left"/>
              <w:rPr>
                <w:sz w:val="18"/>
                <w:szCs w:val="18"/>
              </w:rPr>
            </w:pPr>
          </w:p>
        </w:tc>
      </w:tr>
      <w:tr w:rsidR="004E4AF8">
        <w:tc>
          <w:tcPr>
            <w:tcW w:w="6437" w:type="dxa"/>
          </w:tcPr>
          <w:p w:rsidR="004E4AF8" w:rsidRDefault="00D62302">
            <w:pPr>
              <w:spacing w:line="259" w:lineRule="auto"/>
              <w:jc w:val="left"/>
              <w:rPr>
                <w:sz w:val="18"/>
                <w:szCs w:val="18"/>
              </w:rPr>
            </w:pPr>
            <w:r>
              <w:rPr>
                <w:sz w:val="18"/>
                <w:szCs w:val="18"/>
              </w:rPr>
              <w:t>e-mail</w:t>
            </w:r>
          </w:p>
          <w:p w:rsidR="004E4AF8" w:rsidRDefault="004E4AF8">
            <w:pPr>
              <w:spacing w:line="259" w:lineRule="auto"/>
              <w:jc w:val="left"/>
              <w:rPr>
                <w:sz w:val="18"/>
                <w:szCs w:val="18"/>
              </w:rPr>
            </w:pPr>
          </w:p>
          <w:p w:rsidR="004E4AF8" w:rsidRDefault="004E4AF8">
            <w:pPr>
              <w:spacing w:line="259" w:lineRule="auto"/>
              <w:jc w:val="left"/>
              <w:rPr>
                <w:sz w:val="18"/>
                <w:szCs w:val="18"/>
              </w:rPr>
            </w:pPr>
          </w:p>
        </w:tc>
        <w:tc>
          <w:tcPr>
            <w:tcW w:w="3191" w:type="dxa"/>
          </w:tcPr>
          <w:p w:rsidR="004E4AF8" w:rsidRDefault="00D62302">
            <w:pPr>
              <w:spacing w:line="259" w:lineRule="auto"/>
              <w:jc w:val="left"/>
              <w:rPr>
                <w:sz w:val="18"/>
                <w:szCs w:val="18"/>
              </w:rPr>
            </w:pPr>
            <w:r>
              <w:rPr>
                <w:sz w:val="18"/>
                <w:szCs w:val="18"/>
              </w:rPr>
              <w:t>Telefone</w:t>
            </w:r>
          </w:p>
        </w:tc>
      </w:tr>
    </w:tbl>
    <w:p w:rsidR="004E4AF8" w:rsidRDefault="004E4AF8">
      <w:pPr>
        <w:spacing w:after="0" w:line="240" w:lineRule="auto"/>
        <w:jc w:val="left"/>
      </w:pPr>
    </w:p>
    <w:tbl>
      <w:tblPr>
        <w:tblStyle w:val="affffffffffffffff3"/>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6437"/>
        <w:gridCol w:w="3191"/>
      </w:tblGrid>
      <w:tr w:rsidR="004E4AF8">
        <w:tc>
          <w:tcPr>
            <w:tcW w:w="9628" w:type="dxa"/>
            <w:gridSpan w:val="2"/>
            <w:tcBorders>
              <w:top w:val="single" w:sz="4" w:space="0" w:color="000000"/>
            </w:tcBorders>
            <w:shd w:val="clear" w:color="auto" w:fill="BFBFBF"/>
          </w:tcPr>
          <w:p w:rsidR="004E4AF8" w:rsidRDefault="00D62302">
            <w:pPr>
              <w:spacing w:line="259" w:lineRule="auto"/>
              <w:jc w:val="left"/>
              <w:rPr>
                <w:b/>
              </w:rPr>
            </w:pPr>
            <w:r>
              <w:rPr>
                <w:b/>
              </w:rPr>
              <w:t xml:space="preserve">2 – IDENTIFICAÇÃO E CIÊNCIA DO INTEGRANTE </w:t>
            </w:r>
            <w:r>
              <w:rPr>
                <w:b/>
                <w:sz w:val="20"/>
                <w:szCs w:val="20"/>
              </w:rPr>
              <w:t>DEMANDANTE</w:t>
            </w:r>
          </w:p>
        </w:tc>
      </w:tr>
      <w:tr w:rsidR="004E4AF8">
        <w:tc>
          <w:tcPr>
            <w:tcW w:w="6437" w:type="dxa"/>
          </w:tcPr>
          <w:p w:rsidR="004E4AF8" w:rsidRDefault="00D62302">
            <w:pPr>
              <w:spacing w:line="259" w:lineRule="auto"/>
              <w:jc w:val="left"/>
              <w:rPr>
                <w:sz w:val="18"/>
                <w:szCs w:val="18"/>
              </w:rPr>
            </w:pPr>
            <w:r>
              <w:rPr>
                <w:sz w:val="18"/>
                <w:szCs w:val="18"/>
              </w:rPr>
              <w:t>Nome</w:t>
            </w:r>
          </w:p>
          <w:p w:rsidR="004E4AF8" w:rsidRDefault="004E4AF8">
            <w:pPr>
              <w:spacing w:line="259" w:lineRule="auto"/>
              <w:jc w:val="left"/>
              <w:rPr>
                <w:sz w:val="18"/>
                <w:szCs w:val="18"/>
              </w:rPr>
            </w:pPr>
          </w:p>
          <w:p w:rsidR="004E4AF8" w:rsidRDefault="004E4AF8">
            <w:pPr>
              <w:spacing w:line="259" w:lineRule="auto"/>
              <w:jc w:val="left"/>
              <w:rPr>
                <w:sz w:val="18"/>
                <w:szCs w:val="18"/>
              </w:rPr>
            </w:pPr>
          </w:p>
        </w:tc>
        <w:tc>
          <w:tcPr>
            <w:tcW w:w="3191" w:type="dxa"/>
          </w:tcPr>
          <w:p w:rsidR="004E4AF8" w:rsidRDefault="00D62302">
            <w:pPr>
              <w:spacing w:line="259" w:lineRule="auto"/>
              <w:jc w:val="left"/>
              <w:rPr>
                <w:sz w:val="18"/>
                <w:szCs w:val="18"/>
              </w:rPr>
            </w:pPr>
            <w:r>
              <w:rPr>
                <w:sz w:val="18"/>
                <w:szCs w:val="18"/>
              </w:rPr>
              <w:t>Matrícula</w:t>
            </w:r>
          </w:p>
          <w:p w:rsidR="004E4AF8" w:rsidRDefault="004E4AF8">
            <w:pPr>
              <w:spacing w:line="259" w:lineRule="auto"/>
              <w:jc w:val="left"/>
              <w:rPr>
                <w:sz w:val="18"/>
                <w:szCs w:val="18"/>
              </w:rPr>
            </w:pPr>
          </w:p>
        </w:tc>
      </w:tr>
      <w:tr w:rsidR="004E4AF8">
        <w:tc>
          <w:tcPr>
            <w:tcW w:w="6437" w:type="dxa"/>
          </w:tcPr>
          <w:p w:rsidR="004E4AF8" w:rsidRDefault="00D62302">
            <w:pPr>
              <w:spacing w:line="259" w:lineRule="auto"/>
              <w:jc w:val="left"/>
              <w:rPr>
                <w:sz w:val="18"/>
                <w:szCs w:val="18"/>
              </w:rPr>
            </w:pPr>
            <w:r>
              <w:rPr>
                <w:sz w:val="18"/>
                <w:szCs w:val="18"/>
              </w:rPr>
              <w:t>Cargo</w:t>
            </w:r>
          </w:p>
        </w:tc>
        <w:tc>
          <w:tcPr>
            <w:tcW w:w="3191" w:type="dxa"/>
          </w:tcPr>
          <w:p w:rsidR="004E4AF8" w:rsidRDefault="00D62302">
            <w:pPr>
              <w:spacing w:line="259" w:lineRule="auto"/>
              <w:jc w:val="left"/>
              <w:rPr>
                <w:sz w:val="18"/>
                <w:szCs w:val="18"/>
              </w:rPr>
            </w:pPr>
            <w:r>
              <w:rPr>
                <w:sz w:val="18"/>
                <w:szCs w:val="18"/>
              </w:rPr>
              <w:t>Lotação</w:t>
            </w:r>
          </w:p>
          <w:p w:rsidR="004E4AF8" w:rsidRDefault="004E4AF8">
            <w:pPr>
              <w:spacing w:line="259" w:lineRule="auto"/>
              <w:jc w:val="left"/>
              <w:rPr>
                <w:sz w:val="18"/>
                <w:szCs w:val="18"/>
              </w:rPr>
            </w:pPr>
          </w:p>
          <w:p w:rsidR="004E4AF8" w:rsidRDefault="004E4AF8">
            <w:pPr>
              <w:spacing w:line="259" w:lineRule="auto"/>
              <w:jc w:val="left"/>
              <w:rPr>
                <w:sz w:val="18"/>
                <w:szCs w:val="18"/>
              </w:rPr>
            </w:pPr>
          </w:p>
        </w:tc>
      </w:tr>
      <w:tr w:rsidR="004E4AF8">
        <w:tc>
          <w:tcPr>
            <w:tcW w:w="6437" w:type="dxa"/>
            <w:tcBorders>
              <w:bottom w:val="single" w:sz="4" w:space="0" w:color="000000"/>
            </w:tcBorders>
          </w:tcPr>
          <w:p w:rsidR="004E4AF8" w:rsidRDefault="00D62302">
            <w:pPr>
              <w:spacing w:line="259" w:lineRule="auto"/>
              <w:jc w:val="left"/>
              <w:rPr>
                <w:sz w:val="18"/>
                <w:szCs w:val="18"/>
              </w:rPr>
            </w:pPr>
            <w:r>
              <w:rPr>
                <w:sz w:val="18"/>
                <w:szCs w:val="18"/>
              </w:rPr>
              <w:t>e-mail</w:t>
            </w:r>
          </w:p>
        </w:tc>
        <w:tc>
          <w:tcPr>
            <w:tcW w:w="3191" w:type="dxa"/>
            <w:tcBorders>
              <w:bottom w:val="single" w:sz="4" w:space="0" w:color="000000"/>
            </w:tcBorders>
          </w:tcPr>
          <w:p w:rsidR="004E4AF8" w:rsidRDefault="00D62302">
            <w:pPr>
              <w:spacing w:line="259" w:lineRule="auto"/>
              <w:jc w:val="left"/>
              <w:rPr>
                <w:sz w:val="18"/>
                <w:szCs w:val="18"/>
              </w:rPr>
            </w:pPr>
            <w:r>
              <w:rPr>
                <w:sz w:val="18"/>
                <w:szCs w:val="18"/>
              </w:rPr>
              <w:t>Telefone</w:t>
            </w:r>
          </w:p>
          <w:p w:rsidR="004E4AF8" w:rsidRDefault="004E4AF8">
            <w:pPr>
              <w:spacing w:line="259" w:lineRule="auto"/>
              <w:jc w:val="left"/>
              <w:rPr>
                <w:sz w:val="18"/>
                <w:szCs w:val="18"/>
              </w:rPr>
            </w:pPr>
          </w:p>
          <w:p w:rsidR="004E4AF8" w:rsidRDefault="004E4AF8">
            <w:pPr>
              <w:spacing w:line="259" w:lineRule="auto"/>
              <w:jc w:val="left"/>
              <w:rPr>
                <w:sz w:val="18"/>
                <w:szCs w:val="18"/>
              </w:rPr>
            </w:pPr>
          </w:p>
        </w:tc>
      </w:tr>
      <w:tr w:rsidR="004E4AF8">
        <w:trPr>
          <w:trHeight w:val="3206"/>
        </w:trPr>
        <w:tc>
          <w:tcPr>
            <w:tcW w:w="9628" w:type="dxa"/>
            <w:gridSpan w:val="2"/>
            <w:tcBorders>
              <w:top w:val="single" w:sz="4" w:space="0" w:color="000000"/>
              <w:left w:val="single" w:sz="4" w:space="0" w:color="000000"/>
              <w:bottom w:val="single" w:sz="4" w:space="0" w:color="000000"/>
              <w:right w:val="single" w:sz="4" w:space="0" w:color="000000"/>
            </w:tcBorders>
            <w:vAlign w:val="center"/>
          </w:tcPr>
          <w:p w:rsidR="004E4AF8" w:rsidRDefault="00D62302">
            <w:pPr>
              <w:spacing w:line="259" w:lineRule="auto"/>
            </w:pPr>
            <w:r>
              <w:t xml:space="preserve">Por este instrumento declaro ter ciência das competências do INTEGRANTE DEMANDANTE definidas na Resolução CNJ n° </w:t>
            </w:r>
            <w:r>
              <w:rPr>
                <w:color w:val="0F6FC6"/>
              </w:rPr>
              <w:t>XXX</w:t>
            </w:r>
            <w:r>
              <w:t xml:space="preserve">, de </w:t>
            </w:r>
            <w:r>
              <w:rPr>
                <w:color w:val="0F6FC6"/>
              </w:rPr>
              <w:t xml:space="preserve">XX </w:t>
            </w:r>
            <w:r>
              <w:t xml:space="preserve">de </w:t>
            </w:r>
            <w:r>
              <w:rPr>
                <w:color w:val="0F6FC6"/>
              </w:rPr>
              <w:t xml:space="preserve">XXX </w:t>
            </w:r>
            <w:r>
              <w:t xml:space="preserve">de </w:t>
            </w:r>
            <w:r>
              <w:rPr>
                <w:color w:val="0F6FC6"/>
              </w:rPr>
              <w:t>20XX</w:t>
            </w:r>
            <w:r>
              <w:t>, bem como da minha indicação para exercer esse papel na Equipe de Planejamento da Contratação.</w:t>
            </w:r>
          </w:p>
          <w:p w:rsidR="004E4AF8" w:rsidRDefault="004E4AF8">
            <w:pPr>
              <w:spacing w:line="259" w:lineRule="auto"/>
              <w:jc w:val="center"/>
            </w:pPr>
          </w:p>
          <w:p w:rsidR="004E4AF8" w:rsidRDefault="00D62302">
            <w:pPr>
              <w:spacing w:line="259" w:lineRule="auto"/>
              <w:jc w:val="center"/>
            </w:pPr>
            <w:r>
              <w:t>&lt;</w:t>
            </w:r>
            <w:r>
              <w:rPr>
                <w:color w:val="0F6FC6"/>
              </w:rPr>
              <w:t>L</w:t>
            </w:r>
            <w:r>
              <w:rPr>
                <w:color w:val="0F6FC6"/>
              </w:rPr>
              <w:t>ocal</w:t>
            </w:r>
            <w:r>
              <w:t>&gt;, &lt;</w:t>
            </w:r>
            <w:r>
              <w:rPr>
                <w:color w:val="0F6FC6"/>
              </w:rPr>
              <w:t>dia</w:t>
            </w:r>
            <w:r>
              <w:t>&gt; de &lt;</w:t>
            </w:r>
            <w:r>
              <w:rPr>
                <w:color w:val="0F6FC6"/>
              </w:rPr>
              <w:t>mês</w:t>
            </w:r>
            <w:r>
              <w:t>&gt; de &lt;</w:t>
            </w:r>
            <w:r>
              <w:rPr>
                <w:color w:val="0F6FC6"/>
              </w:rPr>
              <w:t>ano</w:t>
            </w:r>
            <w:r>
              <w:t>&gt;.</w:t>
            </w:r>
          </w:p>
          <w:p w:rsidR="004E4AF8" w:rsidRDefault="004E4AF8">
            <w:pPr>
              <w:spacing w:line="259" w:lineRule="auto"/>
              <w:jc w:val="center"/>
            </w:pPr>
          </w:p>
          <w:p w:rsidR="004E4AF8" w:rsidRDefault="00D62302">
            <w:pPr>
              <w:spacing w:line="259" w:lineRule="auto"/>
              <w:jc w:val="center"/>
            </w:pPr>
            <w:r>
              <w:t>__________________________________________</w:t>
            </w:r>
          </w:p>
          <w:p w:rsidR="004E4AF8" w:rsidRDefault="00D62302">
            <w:pPr>
              <w:spacing w:line="259" w:lineRule="auto"/>
              <w:jc w:val="center"/>
            </w:pPr>
            <w:r>
              <w:t>&lt;</w:t>
            </w:r>
            <w:r>
              <w:rPr>
                <w:color w:val="0F6FC6"/>
              </w:rPr>
              <w:t>Nome do Integrante Demandante</w:t>
            </w:r>
            <w:r>
              <w:t>&gt;</w:t>
            </w:r>
          </w:p>
          <w:p w:rsidR="004E4AF8" w:rsidRDefault="00D62302">
            <w:pPr>
              <w:spacing w:line="259" w:lineRule="auto"/>
              <w:jc w:val="center"/>
            </w:pPr>
            <w:r>
              <w:t>&lt;</w:t>
            </w:r>
            <w:r>
              <w:rPr>
                <w:color w:val="0F6FC6"/>
              </w:rPr>
              <w:t>Cargo</w:t>
            </w:r>
            <w:r>
              <w:t>&gt;</w:t>
            </w:r>
          </w:p>
          <w:p w:rsidR="004E4AF8" w:rsidRDefault="00D62302">
            <w:pPr>
              <w:spacing w:line="259" w:lineRule="auto"/>
              <w:jc w:val="center"/>
            </w:pPr>
            <w:r>
              <w:t>&lt;</w:t>
            </w:r>
            <w:r>
              <w:rPr>
                <w:color w:val="0F6FC6"/>
              </w:rPr>
              <w:t>Matrícula</w:t>
            </w:r>
            <w:r>
              <w:t>&gt;</w:t>
            </w:r>
          </w:p>
        </w:tc>
      </w:tr>
    </w:tbl>
    <w:p w:rsidR="004E4AF8" w:rsidRDefault="004E4AF8">
      <w:pPr>
        <w:spacing w:line="259" w:lineRule="auto"/>
        <w:jc w:val="left"/>
      </w:pPr>
    </w:p>
    <w:p w:rsidR="004E4AF8" w:rsidRDefault="004E4AF8">
      <w:pPr>
        <w:spacing w:line="259" w:lineRule="auto"/>
        <w:jc w:val="left"/>
      </w:pPr>
    </w:p>
    <w:p w:rsidR="004E4AF8" w:rsidRDefault="004E4AF8">
      <w:pPr>
        <w:spacing w:after="0" w:line="240" w:lineRule="auto"/>
        <w:jc w:val="left"/>
      </w:pPr>
    </w:p>
    <w:tbl>
      <w:tblPr>
        <w:tblStyle w:val="affffffffffffffff4"/>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jc w:val="left"/>
              <w:rPr>
                <w:b/>
              </w:rPr>
            </w:pPr>
            <w:r>
              <w:rPr>
                <w:b/>
              </w:rPr>
              <w:lastRenderedPageBreak/>
              <w:t>3 – IDENTIFICAÇÃO DA DEMANDA</w:t>
            </w:r>
          </w:p>
        </w:tc>
      </w:tr>
      <w:tr w:rsidR="004E4AF8">
        <w:trPr>
          <w:trHeight w:val="1226"/>
        </w:trPr>
        <w:tc>
          <w:tcPr>
            <w:tcW w:w="9628" w:type="dxa"/>
          </w:tcPr>
          <w:p w:rsidR="004E4AF8" w:rsidRDefault="00D62302">
            <w:pPr>
              <w:spacing w:line="259" w:lineRule="auto"/>
              <w:jc w:val="left"/>
            </w:pPr>
            <w:r>
              <w:t>Descrição da necessidade ou situação do problema</w:t>
            </w:r>
          </w:p>
          <w:p w:rsidR="004E4AF8" w:rsidRDefault="004E4AF8">
            <w:pPr>
              <w:spacing w:line="259" w:lineRule="auto"/>
              <w:jc w:val="left"/>
            </w:pPr>
          </w:p>
          <w:p w:rsidR="004E4AF8" w:rsidRDefault="00D62302">
            <w:pPr>
              <w:spacing w:line="259" w:lineRule="auto"/>
              <w:jc w:val="left"/>
            </w:pPr>
            <w:r>
              <w:t>&lt;</w:t>
            </w:r>
            <w:r>
              <w:rPr>
                <w:color w:val="0F6FC6"/>
              </w:rPr>
              <w:t>Ex.: parque de computadores parcialmente obsoleto</w:t>
            </w:r>
            <w:r>
              <w:t>&gt;</w:t>
            </w:r>
          </w:p>
        </w:tc>
      </w:tr>
    </w:tbl>
    <w:p w:rsidR="004E4AF8" w:rsidRDefault="004E4AF8">
      <w:pPr>
        <w:spacing w:after="0" w:line="240" w:lineRule="auto"/>
        <w:jc w:val="left"/>
      </w:pPr>
    </w:p>
    <w:tbl>
      <w:tblPr>
        <w:tblStyle w:val="affffffffffffffff5"/>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846"/>
        <w:gridCol w:w="8782"/>
      </w:tblGrid>
      <w:tr w:rsidR="004E4AF8">
        <w:tc>
          <w:tcPr>
            <w:tcW w:w="9628" w:type="dxa"/>
            <w:gridSpan w:val="2"/>
            <w:shd w:val="clear" w:color="auto" w:fill="BFBFBF"/>
          </w:tcPr>
          <w:p w:rsidR="004E4AF8" w:rsidRDefault="00D62302">
            <w:pPr>
              <w:spacing w:line="259" w:lineRule="auto"/>
              <w:jc w:val="left"/>
              <w:rPr>
                <w:b/>
              </w:rPr>
            </w:pPr>
            <w:r>
              <w:rPr>
                <w:b/>
              </w:rPr>
              <w:t>4 – ALINHAMENTO AOS PLANOS ESTRATÉGICOS</w:t>
            </w:r>
          </w:p>
        </w:tc>
      </w:tr>
      <w:tr w:rsidR="004E4AF8">
        <w:tc>
          <w:tcPr>
            <w:tcW w:w="846" w:type="dxa"/>
            <w:vAlign w:val="center"/>
          </w:tcPr>
          <w:p w:rsidR="004E4AF8" w:rsidRDefault="00D62302">
            <w:pPr>
              <w:spacing w:line="259" w:lineRule="auto"/>
              <w:jc w:val="center"/>
              <w:rPr>
                <w:b/>
                <w:color w:val="0F6FC6"/>
              </w:rPr>
            </w:pPr>
            <w:r>
              <w:rPr>
                <w:b/>
              </w:rPr>
              <w:t>ID</w:t>
            </w:r>
          </w:p>
        </w:tc>
        <w:tc>
          <w:tcPr>
            <w:tcW w:w="8782" w:type="dxa"/>
            <w:vAlign w:val="center"/>
          </w:tcPr>
          <w:p w:rsidR="004E4AF8" w:rsidRDefault="00D62302">
            <w:pPr>
              <w:spacing w:line="259" w:lineRule="auto"/>
              <w:jc w:val="center"/>
              <w:rPr>
                <w:b/>
              </w:rPr>
            </w:pPr>
            <w:r>
              <w:rPr>
                <w:b/>
              </w:rPr>
              <w:t>Objetivos Estratégicos</w:t>
            </w:r>
          </w:p>
        </w:tc>
      </w:tr>
      <w:tr w:rsidR="004E4AF8">
        <w:tc>
          <w:tcPr>
            <w:tcW w:w="846" w:type="dxa"/>
            <w:vAlign w:val="center"/>
          </w:tcPr>
          <w:p w:rsidR="004E4AF8" w:rsidRDefault="00D62302">
            <w:pPr>
              <w:spacing w:line="259" w:lineRule="auto"/>
              <w:jc w:val="center"/>
              <w:rPr>
                <w:b/>
                <w:color w:val="0F6FC6"/>
              </w:rPr>
            </w:pPr>
            <w:r>
              <w:rPr>
                <w:b/>
                <w:color w:val="0F6FC6"/>
              </w:rPr>
              <w:t>N1</w:t>
            </w:r>
          </w:p>
        </w:tc>
        <w:tc>
          <w:tcPr>
            <w:tcW w:w="8782" w:type="dxa"/>
          </w:tcPr>
          <w:p w:rsidR="004E4AF8" w:rsidRDefault="00D62302">
            <w:pPr>
              <w:spacing w:line="259" w:lineRule="auto"/>
              <w:jc w:val="left"/>
            </w:pPr>
            <w:r>
              <w:t>&lt;</w:t>
            </w:r>
            <w:r>
              <w:rPr>
                <w:color w:val="0F6FC6"/>
              </w:rPr>
              <w:t>Objetivo Estratégico N1 do Plano Estratégico Institucional 2020-2023</w:t>
            </w:r>
            <w:r>
              <w:t>&gt;</w:t>
            </w:r>
          </w:p>
        </w:tc>
      </w:tr>
      <w:tr w:rsidR="004E4AF8">
        <w:tc>
          <w:tcPr>
            <w:tcW w:w="846" w:type="dxa"/>
            <w:vAlign w:val="center"/>
          </w:tcPr>
          <w:p w:rsidR="004E4AF8" w:rsidRDefault="00D62302">
            <w:pPr>
              <w:spacing w:line="259" w:lineRule="auto"/>
              <w:jc w:val="center"/>
              <w:rPr>
                <w:b/>
                <w:color w:val="0F6FC6"/>
              </w:rPr>
            </w:pPr>
            <w:r>
              <w:rPr>
                <w:b/>
                <w:color w:val="0F6FC6"/>
              </w:rPr>
              <w:t>...</w:t>
            </w:r>
          </w:p>
        </w:tc>
        <w:tc>
          <w:tcPr>
            <w:tcW w:w="8782" w:type="dxa"/>
          </w:tcPr>
          <w:p w:rsidR="004E4AF8" w:rsidRDefault="00D62302">
            <w:pPr>
              <w:spacing w:line="259" w:lineRule="auto"/>
              <w:jc w:val="left"/>
            </w:pPr>
            <w:r>
              <w:t>&lt;</w:t>
            </w:r>
            <w:r>
              <w:rPr>
                <w:color w:val="0F6FC6"/>
              </w:rPr>
              <w:t>Objetivo Estratégico NN do Plano Estratégico Institucional 2020-2023</w:t>
            </w:r>
            <w:r>
              <w:t>&gt;</w:t>
            </w:r>
          </w:p>
        </w:tc>
      </w:tr>
      <w:tr w:rsidR="004E4AF8">
        <w:tc>
          <w:tcPr>
            <w:tcW w:w="846" w:type="dxa"/>
            <w:vAlign w:val="center"/>
          </w:tcPr>
          <w:p w:rsidR="004E4AF8" w:rsidRDefault="00D62302">
            <w:pPr>
              <w:spacing w:line="259" w:lineRule="auto"/>
              <w:jc w:val="center"/>
              <w:rPr>
                <w:b/>
                <w:color w:val="0F6FC6"/>
              </w:rPr>
            </w:pPr>
            <w:r>
              <w:rPr>
                <w:b/>
                <w:color w:val="0F6FC6"/>
              </w:rPr>
              <w:t>M1</w:t>
            </w:r>
          </w:p>
        </w:tc>
        <w:tc>
          <w:tcPr>
            <w:tcW w:w="8782" w:type="dxa"/>
          </w:tcPr>
          <w:p w:rsidR="004E4AF8" w:rsidRDefault="00D62302">
            <w:pPr>
              <w:spacing w:line="259" w:lineRule="auto"/>
              <w:jc w:val="left"/>
            </w:pPr>
            <w:r>
              <w:t>&lt;</w:t>
            </w:r>
            <w:r>
              <w:rPr>
                <w:color w:val="0F6FC6"/>
              </w:rPr>
              <w:t>Objetivo Estratégico M1 da Estratégia de Governança Digital 2020-2023</w:t>
            </w:r>
            <w:r>
              <w:t>&gt;</w:t>
            </w:r>
          </w:p>
        </w:tc>
      </w:tr>
      <w:tr w:rsidR="004E4AF8">
        <w:tc>
          <w:tcPr>
            <w:tcW w:w="846" w:type="dxa"/>
            <w:vAlign w:val="center"/>
          </w:tcPr>
          <w:p w:rsidR="004E4AF8" w:rsidRDefault="00D62302">
            <w:pPr>
              <w:spacing w:line="259" w:lineRule="auto"/>
              <w:jc w:val="center"/>
              <w:rPr>
                <w:b/>
                <w:color w:val="0F6FC6"/>
              </w:rPr>
            </w:pPr>
            <w:r>
              <w:rPr>
                <w:b/>
                <w:color w:val="0F6FC6"/>
              </w:rPr>
              <w:t>...</w:t>
            </w:r>
          </w:p>
        </w:tc>
        <w:tc>
          <w:tcPr>
            <w:tcW w:w="8782" w:type="dxa"/>
          </w:tcPr>
          <w:p w:rsidR="004E4AF8" w:rsidRDefault="00D62302">
            <w:pPr>
              <w:spacing w:line="259" w:lineRule="auto"/>
              <w:jc w:val="left"/>
            </w:pPr>
            <w:r>
              <w:t>&lt;</w:t>
            </w:r>
            <w:r>
              <w:rPr>
                <w:color w:val="0F6FC6"/>
              </w:rPr>
              <w:t>Objetivo Estratégico MM da Estratégia de Governança Digital 2020-2023</w:t>
            </w:r>
            <w:r>
              <w:t>&gt;</w:t>
            </w:r>
          </w:p>
        </w:tc>
      </w:tr>
    </w:tbl>
    <w:p w:rsidR="004E4AF8" w:rsidRDefault="004E4AF8">
      <w:pPr>
        <w:spacing w:after="0" w:line="240" w:lineRule="auto"/>
        <w:jc w:val="left"/>
      </w:pPr>
    </w:p>
    <w:tbl>
      <w:tblPr>
        <w:tblStyle w:val="affffffffffffffff6"/>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515"/>
        <w:gridCol w:w="4158"/>
        <w:gridCol w:w="567"/>
        <w:gridCol w:w="4388"/>
      </w:tblGrid>
      <w:tr w:rsidR="004E4AF8">
        <w:tc>
          <w:tcPr>
            <w:tcW w:w="9628" w:type="dxa"/>
            <w:gridSpan w:val="4"/>
            <w:shd w:val="clear" w:color="auto" w:fill="BFBFBF"/>
          </w:tcPr>
          <w:p w:rsidR="004E4AF8" w:rsidRDefault="00D62302">
            <w:pPr>
              <w:spacing w:line="259" w:lineRule="auto"/>
              <w:jc w:val="left"/>
              <w:rPr>
                <w:b/>
              </w:rPr>
            </w:pPr>
            <w:r>
              <w:rPr>
                <w:b/>
              </w:rPr>
              <w:t>5 – ALINHAMENTO AO PDTIC &lt;</w:t>
            </w:r>
            <w:r>
              <w:rPr>
                <w:b/>
                <w:color w:val="0F6FC6"/>
              </w:rPr>
              <w:t>20XX-</w:t>
            </w:r>
            <w:r>
              <w:rPr>
                <w:b/>
                <w:color w:val="0F6FC6"/>
              </w:rPr>
              <w:t>20XX</w:t>
            </w:r>
            <w:r>
              <w:rPr>
                <w:b/>
              </w:rPr>
              <w:t>&gt;</w:t>
            </w:r>
          </w:p>
        </w:tc>
      </w:tr>
      <w:tr w:rsidR="004E4AF8">
        <w:tc>
          <w:tcPr>
            <w:tcW w:w="515" w:type="dxa"/>
            <w:vAlign w:val="center"/>
          </w:tcPr>
          <w:p w:rsidR="004E4AF8" w:rsidRDefault="00D62302">
            <w:pPr>
              <w:spacing w:line="259" w:lineRule="auto"/>
              <w:jc w:val="center"/>
              <w:rPr>
                <w:b/>
                <w:color w:val="0F6FC6"/>
              </w:rPr>
            </w:pPr>
            <w:r>
              <w:rPr>
                <w:b/>
              </w:rPr>
              <w:t>ID</w:t>
            </w:r>
          </w:p>
        </w:tc>
        <w:tc>
          <w:tcPr>
            <w:tcW w:w="4158" w:type="dxa"/>
            <w:vAlign w:val="center"/>
          </w:tcPr>
          <w:p w:rsidR="004E4AF8" w:rsidRDefault="00D62302">
            <w:pPr>
              <w:spacing w:line="259" w:lineRule="auto"/>
              <w:jc w:val="center"/>
              <w:rPr>
                <w:b/>
              </w:rPr>
            </w:pPr>
            <w:r>
              <w:rPr>
                <w:b/>
              </w:rPr>
              <w:t>Ação do PDTIC</w:t>
            </w:r>
          </w:p>
        </w:tc>
        <w:tc>
          <w:tcPr>
            <w:tcW w:w="567" w:type="dxa"/>
            <w:vAlign w:val="center"/>
          </w:tcPr>
          <w:p w:rsidR="004E4AF8" w:rsidRDefault="00D62302">
            <w:pPr>
              <w:spacing w:line="259" w:lineRule="auto"/>
              <w:jc w:val="center"/>
              <w:rPr>
                <w:b/>
              </w:rPr>
            </w:pPr>
            <w:r>
              <w:rPr>
                <w:b/>
              </w:rPr>
              <w:t>ID</w:t>
            </w:r>
          </w:p>
        </w:tc>
        <w:tc>
          <w:tcPr>
            <w:tcW w:w="4388" w:type="dxa"/>
            <w:vAlign w:val="center"/>
          </w:tcPr>
          <w:p w:rsidR="004E4AF8" w:rsidRDefault="00D62302">
            <w:pPr>
              <w:spacing w:line="259" w:lineRule="auto"/>
              <w:jc w:val="center"/>
              <w:rPr>
                <w:b/>
              </w:rPr>
            </w:pPr>
            <w:r>
              <w:rPr>
                <w:b/>
              </w:rPr>
              <w:t>Meta do PDTIC associada</w:t>
            </w:r>
          </w:p>
        </w:tc>
      </w:tr>
      <w:tr w:rsidR="004E4AF8">
        <w:tc>
          <w:tcPr>
            <w:tcW w:w="515" w:type="dxa"/>
            <w:vAlign w:val="center"/>
          </w:tcPr>
          <w:p w:rsidR="004E4AF8" w:rsidRDefault="00D62302">
            <w:pPr>
              <w:spacing w:line="259" w:lineRule="auto"/>
              <w:jc w:val="center"/>
              <w:rPr>
                <w:b/>
                <w:color w:val="0F6FC6"/>
              </w:rPr>
            </w:pPr>
            <w:r>
              <w:rPr>
                <w:b/>
                <w:color w:val="0F6FC6"/>
              </w:rPr>
              <w:t>A1</w:t>
            </w:r>
          </w:p>
        </w:tc>
        <w:tc>
          <w:tcPr>
            <w:tcW w:w="4158" w:type="dxa"/>
          </w:tcPr>
          <w:p w:rsidR="004E4AF8" w:rsidRDefault="00D62302">
            <w:pPr>
              <w:spacing w:line="259" w:lineRule="auto"/>
              <w:jc w:val="left"/>
            </w:pPr>
            <w:r>
              <w:t>&lt;</w:t>
            </w:r>
            <w:r>
              <w:rPr>
                <w:color w:val="0F6FC6"/>
              </w:rPr>
              <w:t>Ação A1 do Plano de Metas e Ações</w:t>
            </w:r>
            <w:r>
              <w:t>&gt;</w:t>
            </w:r>
          </w:p>
        </w:tc>
        <w:tc>
          <w:tcPr>
            <w:tcW w:w="567" w:type="dxa"/>
          </w:tcPr>
          <w:p w:rsidR="004E4AF8" w:rsidRDefault="00D62302">
            <w:pPr>
              <w:spacing w:line="259" w:lineRule="auto"/>
              <w:jc w:val="center"/>
              <w:rPr>
                <w:b/>
                <w:color w:val="0F6FC6"/>
              </w:rPr>
            </w:pPr>
            <w:r>
              <w:rPr>
                <w:b/>
                <w:color w:val="0F6FC6"/>
              </w:rPr>
              <w:t>M1</w:t>
            </w:r>
          </w:p>
        </w:tc>
        <w:tc>
          <w:tcPr>
            <w:tcW w:w="4388" w:type="dxa"/>
          </w:tcPr>
          <w:p w:rsidR="004E4AF8" w:rsidRDefault="00D62302">
            <w:pPr>
              <w:spacing w:line="259" w:lineRule="auto"/>
              <w:jc w:val="left"/>
            </w:pPr>
            <w:r>
              <w:t>&lt;</w:t>
            </w:r>
            <w:r>
              <w:rPr>
                <w:color w:val="0F6FC6"/>
              </w:rPr>
              <w:t>Meta M1 do Plano de Metas e Ações</w:t>
            </w:r>
            <w:r>
              <w:t>&gt;</w:t>
            </w:r>
          </w:p>
        </w:tc>
      </w:tr>
      <w:tr w:rsidR="004E4AF8">
        <w:tc>
          <w:tcPr>
            <w:tcW w:w="515" w:type="dxa"/>
            <w:vAlign w:val="center"/>
          </w:tcPr>
          <w:p w:rsidR="004E4AF8" w:rsidRDefault="00D62302">
            <w:pPr>
              <w:spacing w:line="259" w:lineRule="auto"/>
              <w:jc w:val="center"/>
              <w:rPr>
                <w:b/>
                <w:color w:val="0F6FC6"/>
              </w:rPr>
            </w:pPr>
            <w:r>
              <w:rPr>
                <w:b/>
                <w:color w:val="0F6FC6"/>
              </w:rPr>
              <w:t>...</w:t>
            </w:r>
          </w:p>
        </w:tc>
        <w:tc>
          <w:tcPr>
            <w:tcW w:w="4158" w:type="dxa"/>
          </w:tcPr>
          <w:p w:rsidR="004E4AF8" w:rsidRDefault="00D62302">
            <w:pPr>
              <w:spacing w:line="259" w:lineRule="auto"/>
              <w:jc w:val="left"/>
            </w:pPr>
            <w:r>
              <w:t>&lt;</w:t>
            </w:r>
            <w:r>
              <w:rPr>
                <w:color w:val="0F6FC6"/>
              </w:rPr>
              <w:t>Ação AN do Plano de Metas e Ações</w:t>
            </w:r>
            <w:r>
              <w:t>&gt;</w:t>
            </w:r>
          </w:p>
        </w:tc>
        <w:tc>
          <w:tcPr>
            <w:tcW w:w="567" w:type="dxa"/>
            <w:vAlign w:val="center"/>
          </w:tcPr>
          <w:p w:rsidR="004E4AF8" w:rsidRDefault="00D62302">
            <w:pPr>
              <w:spacing w:line="259" w:lineRule="auto"/>
              <w:jc w:val="center"/>
              <w:rPr>
                <w:b/>
                <w:color w:val="0F6FC6"/>
              </w:rPr>
            </w:pPr>
            <w:r>
              <w:rPr>
                <w:b/>
                <w:color w:val="0F6FC6"/>
              </w:rPr>
              <w:t>...</w:t>
            </w:r>
          </w:p>
        </w:tc>
        <w:tc>
          <w:tcPr>
            <w:tcW w:w="4388" w:type="dxa"/>
          </w:tcPr>
          <w:p w:rsidR="004E4AF8" w:rsidRDefault="00D62302">
            <w:pPr>
              <w:spacing w:line="259" w:lineRule="auto"/>
              <w:jc w:val="left"/>
            </w:pPr>
            <w:r>
              <w:t>&lt;</w:t>
            </w:r>
            <w:r>
              <w:rPr>
                <w:color w:val="0F6FC6"/>
              </w:rPr>
              <w:t>Meta MM do Plano de Metas e Ações</w:t>
            </w:r>
            <w:r>
              <w:t>&gt;</w:t>
            </w:r>
          </w:p>
        </w:tc>
      </w:tr>
    </w:tbl>
    <w:p w:rsidR="004E4AF8" w:rsidRDefault="004E4AF8">
      <w:pPr>
        <w:spacing w:after="0" w:line="240" w:lineRule="auto"/>
        <w:jc w:val="left"/>
      </w:pPr>
    </w:p>
    <w:tbl>
      <w:tblPr>
        <w:tblStyle w:val="affffffffffffffff7"/>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846"/>
        <w:gridCol w:w="8782"/>
      </w:tblGrid>
      <w:tr w:rsidR="004E4AF8">
        <w:tc>
          <w:tcPr>
            <w:tcW w:w="9628" w:type="dxa"/>
            <w:gridSpan w:val="2"/>
            <w:shd w:val="clear" w:color="auto" w:fill="BFBFBF"/>
          </w:tcPr>
          <w:p w:rsidR="004E4AF8" w:rsidRDefault="00D62302">
            <w:pPr>
              <w:spacing w:line="259" w:lineRule="auto"/>
              <w:jc w:val="left"/>
              <w:rPr>
                <w:b/>
              </w:rPr>
            </w:pPr>
            <w:r>
              <w:rPr>
                <w:b/>
              </w:rPr>
              <w:t>6 – ALINHAMENTO AO Plano Anual de Contratação &lt;</w:t>
            </w:r>
            <w:r>
              <w:rPr>
                <w:b/>
                <w:color w:val="0F6FC6"/>
              </w:rPr>
              <w:t>ano da contratação</w:t>
            </w:r>
            <w:r>
              <w:rPr>
                <w:b/>
              </w:rPr>
              <w:t>&gt;</w:t>
            </w:r>
          </w:p>
        </w:tc>
      </w:tr>
      <w:tr w:rsidR="004E4AF8">
        <w:tc>
          <w:tcPr>
            <w:tcW w:w="846" w:type="dxa"/>
            <w:vAlign w:val="center"/>
          </w:tcPr>
          <w:p w:rsidR="004E4AF8" w:rsidRDefault="00D62302">
            <w:pPr>
              <w:spacing w:line="259" w:lineRule="auto"/>
              <w:jc w:val="center"/>
              <w:rPr>
                <w:b/>
                <w:color w:val="0F6FC6"/>
              </w:rPr>
            </w:pPr>
            <w:r>
              <w:rPr>
                <w:b/>
              </w:rPr>
              <w:t>Item</w:t>
            </w:r>
          </w:p>
        </w:tc>
        <w:tc>
          <w:tcPr>
            <w:tcW w:w="8782" w:type="dxa"/>
            <w:vAlign w:val="center"/>
          </w:tcPr>
          <w:p w:rsidR="004E4AF8" w:rsidRDefault="00D62302">
            <w:pPr>
              <w:spacing w:line="259" w:lineRule="auto"/>
              <w:jc w:val="center"/>
              <w:rPr>
                <w:b/>
              </w:rPr>
            </w:pPr>
            <w:r>
              <w:rPr>
                <w:b/>
              </w:rPr>
              <w:t>Descrição</w:t>
            </w:r>
          </w:p>
        </w:tc>
      </w:tr>
      <w:tr w:rsidR="004E4AF8">
        <w:tc>
          <w:tcPr>
            <w:tcW w:w="846" w:type="dxa"/>
            <w:vAlign w:val="center"/>
          </w:tcPr>
          <w:p w:rsidR="004E4AF8" w:rsidRDefault="00D62302">
            <w:pPr>
              <w:spacing w:line="259" w:lineRule="auto"/>
              <w:jc w:val="center"/>
              <w:rPr>
                <w:b/>
                <w:color w:val="0F6FC6"/>
              </w:rPr>
            </w:pPr>
            <w:r>
              <w:rPr>
                <w:b/>
                <w:color w:val="0F6FC6"/>
              </w:rPr>
              <w:t>N</w:t>
            </w:r>
          </w:p>
        </w:tc>
        <w:tc>
          <w:tcPr>
            <w:tcW w:w="8782" w:type="dxa"/>
          </w:tcPr>
          <w:p w:rsidR="004E4AF8" w:rsidRDefault="00D62302">
            <w:pPr>
              <w:spacing w:line="259" w:lineRule="auto"/>
              <w:jc w:val="left"/>
            </w:pPr>
            <w:r>
              <w:t>&lt;</w:t>
            </w:r>
            <w:r>
              <w:rPr>
                <w:color w:val="0F6FC6"/>
              </w:rPr>
              <w:t>Descrição do Item N</w:t>
            </w:r>
            <w:r>
              <w:t>&gt;</w:t>
            </w:r>
          </w:p>
        </w:tc>
      </w:tr>
      <w:tr w:rsidR="004E4AF8">
        <w:tc>
          <w:tcPr>
            <w:tcW w:w="846" w:type="dxa"/>
            <w:vAlign w:val="center"/>
          </w:tcPr>
          <w:p w:rsidR="004E4AF8" w:rsidRDefault="00D62302">
            <w:pPr>
              <w:spacing w:line="259" w:lineRule="auto"/>
              <w:jc w:val="center"/>
              <w:rPr>
                <w:b/>
                <w:color w:val="0F6FC6"/>
              </w:rPr>
            </w:pPr>
            <w:r>
              <w:rPr>
                <w:b/>
                <w:color w:val="0F6FC6"/>
              </w:rPr>
              <w:t>...</w:t>
            </w:r>
          </w:p>
        </w:tc>
        <w:tc>
          <w:tcPr>
            <w:tcW w:w="8782" w:type="dxa"/>
          </w:tcPr>
          <w:p w:rsidR="004E4AF8" w:rsidRDefault="00D62302">
            <w:pPr>
              <w:spacing w:line="259" w:lineRule="auto"/>
              <w:jc w:val="left"/>
            </w:pPr>
            <w:r>
              <w:t>&lt;</w:t>
            </w:r>
            <w:r>
              <w:rPr>
                <w:color w:val="0F6FC6"/>
              </w:rPr>
              <w:t>Descrição do Item NN</w:t>
            </w:r>
            <w:r>
              <w:t>&gt;</w:t>
            </w:r>
          </w:p>
        </w:tc>
      </w:tr>
    </w:tbl>
    <w:p w:rsidR="004E4AF8" w:rsidRDefault="004E4AF8">
      <w:pPr>
        <w:spacing w:after="0" w:line="240" w:lineRule="auto"/>
        <w:jc w:val="left"/>
      </w:pPr>
    </w:p>
    <w:tbl>
      <w:tblPr>
        <w:tblStyle w:val="affffffffffffffff8"/>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jc w:val="left"/>
              <w:rPr>
                <w:b/>
              </w:rPr>
            </w:pPr>
            <w:r>
              <w:rPr>
                <w:b/>
              </w:rPr>
              <w:t>7 – MOTIVAÇÃO/JUSTIFICATIVA</w:t>
            </w:r>
          </w:p>
        </w:tc>
      </w:tr>
      <w:tr w:rsidR="004E4AF8">
        <w:trPr>
          <w:trHeight w:val="817"/>
        </w:trPr>
        <w:tc>
          <w:tcPr>
            <w:tcW w:w="9628" w:type="dxa"/>
          </w:tcPr>
          <w:p w:rsidR="004E4AF8" w:rsidRDefault="004E4AF8">
            <w:pPr>
              <w:spacing w:line="259" w:lineRule="auto"/>
              <w:jc w:val="left"/>
            </w:pPr>
          </w:p>
          <w:p w:rsidR="004E4AF8" w:rsidRDefault="00D62302">
            <w:pPr>
              <w:spacing w:line="259" w:lineRule="auto"/>
              <w:jc w:val="left"/>
            </w:pPr>
            <w:r>
              <w:t>&lt;</w:t>
            </w:r>
            <w:r>
              <w:rPr>
                <w:color w:val="0F6FC6"/>
              </w:rPr>
              <w:t>Motivação/Justificativa para a contratação/Desenvolvimento</w:t>
            </w:r>
            <w:r>
              <w:t>&gt;</w:t>
            </w:r>
          </w:p>
          <w:p w:rsidR="004E4AF8" w:rsidRDefault="004E4AF8">
            <w:pPr>
              <w:spacing w:line="259" w:lineRule="auto"/>
              <w:jc w:val="left"/>
            </w:pPr>
          </w:p>
        </w:tc>
      </w:tr>
    </w:tbl>
    <w:p w:rsidR="004E4AF8" w:rsidRDefault="004E4AF8">
      <w:pPr>
        <w:spacing w:after="0" w:line="240" w:lineRule="auto"/>
        <w:jc w:val="left"/>
      </w:pPr>
    </w:p>
    <w:tbl>
      <w:tblPr>
        <w:tblStyle w:val="affffffffffffffff9"/>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jc w:val="left"/>
              <w:rPr>
                <w:b/>
              </w:rPr>
            </w:pPr>
            <w:r>
              <w:rPr>
                <w:b/>
              </w:rPr>
              <w:t>8 – RESULTADOS A SEREM ALCANÇADOS COM A CONTRATRAÇÃO</w:t>
            </w:r>
          </w:p>
        </w:tc>
      </w:tr>
      <w:tr w:rsidR="004E4AF8">
        <w:trPr>
          <w:trHeight w:val="852"/>
        </w:trPr>
        <w:tc>
          <w:tcPr>
            <w:tcW w:w="9628" w:type="dxa"/>
          </w:tcPr>
          <w:p w:rsidR="004E4AF8" w:rsidRDefault="004E4AF8">
            <w:pPr>
              <w:spacing w:line="259" w:lineRule="auto"/>
              <w:jc w:val="left"/>
            </w:pPr>
          </w:p>
          <w:p w:rsidR="004E4AF8" w:rsidRDefault="00D62302">
            <w:pPr>
              <w:spacing w:line="259" w:lineRule="auto"/>
              <w:jc w:val="left"/>
            </w:pPr>
            <w:r>
              <w:t>&lt;</w:t>
            </w:r>
            <w:r>
              <w:rPr>
                <w:color w:val="0F6FC6"/>
              </w:rPr>
              <w:t>Indicação dos resultados esperados com a contratação</w:t>
            </w:r>
            <w:r>
              <w:t>&gt;</w:t>
            </w:r>
          </w:p>
          <w:p w:rsidR="004E4AF8" w:rsidRDefault="004E4AF8">
            <w:pPr>
              <w:spacing w:line="259" w:lineRule="auto"/>
              <w:jc w:val="left"/>
            </w:pPr>
          </w:p>
        </w:tc>
      </w:tr>
    </w:tbl>
    <w:p w:rsidR="004E4AF8" w:rsidRDefault="004E4AF8">
      <w:pPr>
        <w:spacing w:after="0" w:line="240" w:lineRule="auto"/>
        <w:jc w:val="left"/>
      </w:pPr>
    </w:p>
    <w:tbl>
      <w:tblPr>
        <w:tblStyle w:val="affffffffffffffffa"/>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jc w:val="left"/>
              <w:rPr>
                <w:b/>
              </w:rPr>
            </w:pPr>
            <w:r>
              <w:rPr>
                <w:b/>
              </w:rPr>
              <w:t>9 – FONTE DE RECURSOS</w:t>
            </w:r>
          </w:p>
        </w:tc>
      </w:tr>
      <w:tr w:rsidR="004E4AF8">
        <w:trPr>
          <w:trHeight w:val="958"/>
        </w:trPr>
        <w:tc>
          <w:tcPr>
            <w:tcW w:w="9628" w:type="dxa"/>
          </w:tcPr>
          <w:p w:rsidR="004E4AF8" w:rsidRDefault="004E4AF8">
            <w:pPr>
              <w:spacing w:line="259" w:lineRule="auto"/>
              <w:jc w:val="left"/>
            </w:pPr>
          </w:p>
          <w:p w:rsidR="004E4AF8" w:rsidRDefault="00D62302">
            <w:pPr>
              <w:spacing w:line="259" w:lineRule="auto"/>
              <w:jc w:val="left"/>
            </w:pPr>
            <w:r>
              <w:t>&lt;</w:t>
            </w:r>
            <w:r>
              <w:rPr>
                <w:color w:val="0F6FC6"/>
              </w:rPr>
              <w:t>Registro da indicação da fonte de recursos que comportará a realização doas despesas decorrentes da contratação</w:t>
            </w:r>
            <w:r>
              <w:t>&gt;</w:t>
            </w:r>
          </w:p>
          <w:p w:rsidR="004E4AF8" w:rsidRDefault="00D62302">
            <w:pPr>
              <w:spacing w:line="259" w:lineRule="auto"/>
              <w:jc w:val="left"/>
            </w:pPr>
            <w:r>
              <w:t>&lt;</w:t>
            </w:r>
            <w:r>
              <w:rPr>
                <w:color w:val="0F6FC6"/>
              </w:rPr>
              <w:t>Ex. Programa 9999 – xxxxx, Ação 99AA – xxxx e Plano Orçamentário 9999 – xxxxxx</w:t>
            </w:r>
            <w:r>
              <w:t>&gt;</w:t>
            </w:r>
          </w:p>
          <w:p w:rsidR="004E4AF8" w:rsidRDefault="004E4AF8">
            <w:pPr>
              <w:spacing w:line="259" w:lineRule="auto"/>
              <w:jc w:val="left"/>
            </w:pPr>
          </w:p>
        </w:tc>
      </w:tr>
    </w:tbl>
    <w:p w:rsidR="004E4AF8" w:rsidRDefault="004E4AF8">
      <w:pPr>
        <w:spacing w:line="259" w:lineRule="auto"/>
        <w:jc w:val="left"/>
      </w:pPr>
    </w:p>
    <w:p w:rsidR="004E4AF8" w:rsidRDefault="004E4AF8">
      <w:pPr>
        <w:spacing w:line="259" w:lineRule="auto"/>
        <w:jc w:val="left"/>
      </w:pPr>
    </w:p>
    <w:p w:rsidR="004E4AF8" w:rsidRDefault="004E4AF8">
      <w:pPr>
        <w:spacing w:line="259" w:lineRule="auto"/>
        <w:jc w:val="left"/>
      </w:pPr>
    </w:p>
    <w:tbl>
      <w:tblPr>
        <w:tblStyle w:val="affffffffffffffffb"/>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jc w:val="left"/>
              <w:rPr>
                <w:b/>
              </w:rPr>
            </w:pPr>
            <w:r>
              <w:rPr>
                <w:b/>
              </w:rPr>
              <w:t>10 – COMPLEMENTO DE INFORMAÇÕES</w:t>
            </w:r>
          </w:p>
        </w:tc>
      </w:tr>
      <w:tr w:rsidR="004E4AF8">
        <w:trPr>
          <w:trHeight w:val="958"/>
        </w:trPr>
        <w:tc>
          <w:tcPr>
            <w:tcW w:w="9628" w:type="dxa"/>
          </w:tcPr>
          <w:p w:rsidR="004E4AF8" w:rsidRDefault="004E4AF8">
            <w:pPr>
              <w:spacing w:line="259" w:lineRule="auto"/>
            </w:pPr>
          </w:p>
          <w:p w:rsidR="004E4AF8" w:rsidRDefault="00D62302">
            <w:pPr>
              <w:spacing w:line="259" w:lineRule="auto"/>
              <w:rPr>
                <w:color w:val="0F6FC6"/>
              </w:rPr>
            </w:pPr>
            <w:r>
              <w:t>&lt;</w:t>
            </w:r>
            <w:r>
              <w:rPr>
                <w:color w:val="0F6FC6"/>
              </w:rPr>
              <w:t>Em hipótese de participação de órgão ou entidade em registro de preço; ou</w:t>
            </w:r>
          </w:p>
          <w:p w:rsidR="004E4AF8" w:rsidRDefault="00D62302">
            <w:pPr>
              <w:spacing w:line="259" w:lineRule="auto"/>
              <w:rPr>
                <w:color w:val="0F6FC6"/>
              </w:rPr>
            </w:pPr>
            <w:r>
              <w:rPr>
                <w:color w:val="0F6FC6"/>
              </w:rPr>
              <w:t>Nas hipóteses de órgão participante, cujo órgão gerenciador pertencer ao mesmo segmento de Justiça, e desde que exista simetria de objetivo e motivação, bastará ao órgão participante a elaboração do DOD com os elementos necessários para consolidação pelo ó</w:t>
            </w:r>
            <w:r>
              <w:rPr>
                <w:color w:val="0F6FC6"/>
              </w:rPr>
              <w:t>rgão gerenciador e consequente elaboração dos demais artefatos necessários à contratação:</w:t>
            </w:r>
          </w:p>
          <w:p w:rsidR="004E4AF8" w:rsidRDefault="00D62302">
            <w:pPr>
              <w:spacing w:line="259" w:lineRule="auto"/>
              <w:rPr>
                <w:color w:val="0F6FC6"/>
              </w:rPr>
            </w:pPr>
            <w:r>
              <w:rPr>
                <w:color w:val="0F6FC6"/>
              </w:rPr>
              <w:t>I – Requisitos de negócio, que independem de características tecnológicas, bem como aspectos funcionais da solução de tecnologia da informação, limitados àqueles indi</w:t>
            </w:r>
            <w:r>
              <w:rPr>
                <w:color w:val="0F6FC6"/>
              </w:rPr>
              <w:t>spensáveis ao atendimento das reais necessidades do órgão;</w:t>
            </w:r>
          </w:p>
          <w:p w:rsidR="004E4AF8" w:rsidRDefault="00D62302">
            <w:pPr>
              <w:spacing w:line="259" w:lineRule="auto"/>
              <w:rPr>
                <w:color w:val="0F6FC6"/>
              </w:rPr>
            </w:pPr>
            <w:r>
              <w:rPr>
                <w:color w:val="0F6FC6"/>
              </w:rPr>
              <w:t>II – Quantidades e destinações previstas;</w:t>
            </w:r>
          </w:p>
          <w:p w:rsidR="004E4AF8" w:rsidRDefault="00D62302">
            <w:pPr>
              <w:spacing w:line="259" w:lineRule="auto"/>
            </w:pPr>
            <w:r>
              <w:rPr>
                <w:color w:val="0F6FC6"/>
              </w:rPr>
              <w:t>III – Prazos estimados de necessidade da solução, início e fim da prestação de serviços.</w:t>
            </w:r>
            <w:r>
              <w:t>&gt;</w:t>
            </w:r>
          </w:p>
          <w:p w:rsidR="004E4AF8" w:rsidRDefault="004E4AF8">
            <w:pPr>
              <w:spacing w:line="259" w:lineRule="auto"/>
            </w:pPr>
          </w:p>
        </w:tc>
      </w:tr>
    </w:tbl>
    <w:p w:rsidR="004E4AF8" w:rsidRDefault="004E4AF8">
      <w:pPr>
        <w:spacing w:after="0" w:line="240" w:lineRule="auto"/>
        <w:jc w:val="left"/>
      </w:pPr>
    </w:p>
    <w:tbl>
      <w:tblPr>
        <w:tblStyle w:val="affffffffffffffffc"/>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jc w:val="left"/>
              <w:rPr>
                <w:b/>
              </w:rPr>
            </w:pPr>
            <w:r>
              <w:rPr>
                <w:b/>
              </w:rPr>
              <w:t>11 – FONTE DE RECURSOS</w:t>
            </w:r>
          </w:p>
        </w:tc>
      </w:tr>
      <w:tr w:rsidR="004E4AF8">
        <w:trPr>
          <w:trHeight w:val="2420"/>
        </w:trPr>
        <w:tc>
          <w:tcPr>
            <w:tcW w:w="9628" w:type="dxa"/>
          </w:tcPr>
          <w:p w:rsidR="004E4AF8" w:rsidRDefault="00D62302">
            <w:pPr>
              <w:spacing w:line="259" w:lineRule="auto"/>
              <w:jc w:val="left"/>
            </w:pPr>
            <w:r>
              <w:t>Encaminhe-se ao &lt;</w:t>
            </w:r>
            <w:r>
              <w:rPr>
                <w:color w:val="0F6FC6"/>
              </w:rPr>
              <w:t>Chefe do Departamento de Tecnologia da Informação e Comunicações</w:t>
            </w:r>
            <w:r>
              <w:t>&gt; para providências.</w:t>
            </w:r>
          </w:p>
          <w:p w:rsidR="004E4AF8" w:rsidRDefault="004E4AF8">
            <w:pPr>
              <w:spacing w:line="259" w:lineRule="auto"/>
              <w:jc w:val="left"/>
            </w:pPr>
          </w:p>
          <w:p w:rsidR="004E4AF8" w:rsidRDefault="00D62302">
            <w:pPr>
              <w:spacing w:line="259" w:lineRule="auto"/>
              <w:jc w:val="center"/>
            </w:pPr>
            <w:r>
              <w:t>&lt;</w:t>
            </w:r>
            <w:r>
              <w:rPr>
                <w:color w:val="0F6FC6"/>
              </w:rPr>
              <w:t>Local</w:t>
            </w:r>
            <w:r>
              <w:t xml:space="preserve">&gt;, </w:t>
            </w:r>
            <w:r>
              <w:rPr>
                <w:color w:val="0F6FC6"/>
              </w:rPr>
              <w:t xml:space="preserve">XX </w:t>
            </w:r>
            <w:r>
              <w:t xml:space="preserve">de </w:t>
            </w:r>
            <w:r>
              <w:rPr>
                <w:color w:val="0F6FC6"/>
              </w:rPr>
              <w:t xml:space="preserve">XXXXXXXXXX </w:t>
            </w:r>
            <w:r>
              <w:t xml:space="preserve">de </w:t>
            </w:r>
            <w:r>
              <w:rPr>
                <w:color w:val="0F6FC6"/>
              </w:rPr>
              <w:t>20XX</w:t>
            </w:r>
            <w:r>
              <w:t>.</w:t>
            </w:r>
          </w:p>
          <w:p w:rsidR="004E4AF8" w:rsidRDefault="00D62302">
            <w:pPr>
              <w:spacing w:line="259" w:lineRule="auto"/>
              <w:jc w:val="center"/>
            </w:pPr>
            <w:r>
              <w:t>__________________________________________________</w:t>
            </w:r>
          </w:p>
          <w:p w:rsidR="004E4AF8" w:rsidRDefault="00D62302">
            <w:pPr>
              <w:spacing w:line="259" w:lineRule="auto"/>
              <w:jc w:val="center"/>
            </w:pPr>
            <w:r>
              <w:t>&lt;</w:t>
            </w:r>
            <w:r>
              <w:rPr>
                <w:color w:val="0F6FC6"/>
              </w:rPr>
              <w:t xml:space="preserve">Nome do Titular da Área Demandante </w:t>
            </w:r>
            <w:r>
              <w:t>&gt;</w:t>
            </w:r>
          </w:p>
        </w:tc>
      </w:tr>
    </w:tbl>
    <w:p w:rsidR="004E4AF8" w:rsidRDefault="004E4AF8">
      <w:pPr>
        <w:spacing w:after="0" w:line="240" w:lineRule="auto"/>
        <w:jc w:val="left"/>
      </w:pPr>
    </w:p>
    <w:tbl>
      <w:tblPr>
        <w:tblStyle w:val="affffffffffffffffd"/>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jc w:val="center"/>
              <w:rPr>
                <w:b/>
              </w:rPr>
            </w:pPr>
            <w:r>
              <w:rPr>
                <w:b/>
              </w:rPr>
              <w:t>PREENCHIMENTO PELA ÁREA DE TECNOLOGIA DA INFORMAÇÃO</w:t>
            </w:r>
          </w:p>
        </w:tc>
      </w:tr>
    </w:tbl>
    <w:p w:rsidR="004E4AF8" w:rsidRDefault="004E4AF8">
      <w:pPr>
        <w:spacing w:after="0" w:line="240" w:lineRule="auto"/>
        <w:jc w:val="left"/>
      </w:pPr>
    </w:p>
    <w:tbl>
      <w:tblPr>
        <w:tblStyle w:val="affffffffffffffffe"/>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6436"/>
        <w:gridCol w:w="3192"/>
      </w:tblGrid>
      <w:tr w:rsidR="004E4AF8">
        <w:tc>
          <w:tcPr>
            <w:tcW w:w="9628" w:type="dxa"/>
            <w:gridSpan w:val="2"/>
            <w:tcBorders>
              <w:top w:val="single" w:sz="4" w:space="0" w:color="000000"/>
            </w:tcBorders>
            <w:shd w:val="clear" w:color="auto" w:fill="BFBFBF"/>
          </w:tcPr>
          <w:p w:rsidR="004E4AF8" w:rsidRDefault="00D62302">
            <w:pPr>
              <w:spacing w:line="259" w:lineRule="auto"/>
              <w:jc w:val="left"/>
              <w:rPr>
                <w:b/>
              </w:rPr>
            </w:pPr>
            <w:r>
              <w:rPr>
                <w:b/>
              </w:rPr>
              <w:t>12 – IDENTIFICAÇÃO E CIÊNCIA DO INTEGRANTE TÉCNICO</w:t>
            </w:r>
          </w:p>
        </w:tc>
      </w:tr>
      <w:tr w:rsidR="004E4AF8">
        <w:tc>
          <w:tcPr>
            <w:tcW w:w="6436" w:type="dxa"/>
          </w:tcPr>
          <w:p w:rsidR="004E4AF8" w:rsidRDefault="00D62302">
            <w:pPr>
              <w:spacing w:line="259" w:lineRule="auto"/>
              <w:jc w:val="left"/>
              <w:rPr>
                <w:b/>
                <w:sz w:val="18"/>
                <w:szCs w:val="18"/>
              </w:rPr>
            </w:pPr>
            <w:r>
              <w:rPr>
                <w:b/>
                <w:sz w:val="18"/>
                <w:szCs w:val="18"/>
              </w:rPr>
              <w:t>Nome</w:t>
            </w:r>
          </w:p>
          <w:p w:rsidR="004E4AF8" w:rsidRDefault="004E4AF8">
            <w:pPr>
              <w:spacing w:line="259" w:lineRule="auto"/>
              <w:jc w:val="left"/>
            </w:pPr>
          </w:p>
          <w:p w:rsidR="004E4AF8" w:rsidRDefault="004E4AF8">
            <w:pPr>
              <w:spacing w:line="259" w:lineRule="auto"/>
              <w:jc w:val="left"/>
            </w:pPr>
          </w:p>
        </w:tc>
        <w:tc>
          <w:tcPr>
            <w:tcW w:w="3192" w:type="dxa"/>
          </w:tcPr>
          <w:p w:rsidR="004E4AF8" w:rsidRDefault="00D62302">
            <w:pPr>
              <w:spacing w:line="259" w:lineRule="auto"/>
              <w:jc w:val="left"/>
              <w:rPr>
                <w:b/>
                <w:sz w:val="18"/>
                <w:szCs w:val="18"/>
              </w:rPr>
            </w:pPr>
            <w:r>
              <w:rPr>
                <w:b/>
                <w:sz w:val="18"/>
                <w:szCs w:val="18"/>
              </w:rPr>
              <w:t>Matrícula</w:t>
            </w:r>
          </w:p>
          <w:p w:rsidR="004E4AF8" w:rsidRDefault="004E4AF8">
            <w:pPr>
              <w:spacing w:line="259" w:lineRule="auto"/>
              <w:jc w:val="left"/>
              <w:rPr>
                <w:b/>
                <w:sz w:val="18"/>
                <w:szCs w:val="18"/>
              </w:rPr>
            </w:pPr>
          </w:p>
        </w:tc>
      </w:tr>
      <w:tr w:rsidR="004E4AF8">
        <w:tc>
          <w:tcPr>
            <w:tcW w:w="6436" w:type="dxa"/>
          </w:tcPr>
          <w:p w:rsidR="004E4AF8" w:rsidRDefault="00D62302">
            <w:pPr>
              <w:spacing w:line="259" w:lineRule="auto"/>
              <w:jc w:val="left"/>
              <w:rPr>
                <w:b/>
                <w:sz w:val="18"/>
                <w:szCs w:val="18"/>
              </w:rPr>
            </w:pPr>
            <w:r>
              <w:rPr>
                <w:b/>
                <w:sz w:val="18"/>
                <w:szCs w:val="18"/>
              </w:rPr>
              <w:t>Cargo</w:t>
            </w:r>
          </w:p>
          <w:p w:rsidR="004E4AF8" w:rsidRDefault="004E4AF8">
            <w:pPr>
              <w:spacing w:line="259" w:lineRule="auto"/>
              <w:jc w:val="left"/>
              <w:rPr>
                <w:sz w:val="18"/>
                <w:szCs w:val="18"/>
              </w:rPr>
            </w:pPr>
          </w:p>
          <w:p w:rsidR="004E4AF8" w:rsidRDefault="004E4AF8">
            <w:pPr>
              <w:spacing w:line="259" w:lineRule="auto"/>
              <w:jc w:val="left"/>
              <w:rPr>
                <w:sz w:val="18"/>
                <w:szCs w:val="18"/>
              </w:rPr>
            </w:pPr>
          </w:p>
        </w:tc>
        <w:tc>
          <w:tcPr>
            <w:tcW w:w="3192" w:type="dxa"/>
          </w:tcPr>
          <w:p w:rsidR="004E4AF8" w:rsidRDefault="00D62302">
            <w:pPr>
              <w:spacing w:line="259" w:lineRule="auto"/>
              <w:jc w:val="left"/>
              <w:rPr>
                <w:b/>
                <w:sz w:val="18"/>
                <w:szCs w:val="18"/>
              </w:rPr>
            </w:pPr>
            <w:r>
              <w:rPr>
                <w:b/>
                <w:sz w:val="18"/>
                <w:szCs w:val="18"/>
              </w:rPr>
              <w:t>Lotação</w:t>
            </w:r>
          </w:p>
          <w:p w:rsidR="004E4AF8" w:rsidRDefault="004E4AF8">
            <w:pPr>
              <w:spacing w:line="259" w:lineRule="auto"/>
              <w:jc w:val="left"/>
              <w:rPr>
                <w:sz w:val="18"/>
                <w:szCs w:val="18"/>
              </w:rPr>
            </w:pPr>
          </w:p>
        </w:tc>
      </w:tr>
      <w:tr w:rsidR="004E4AF8">
        <w:tc>
          <w:tcPr>
            <w:tcW w:w="6436" w:type="dxa"/>
          </w:tcPr>
          <w:p w:rsidR="004E4AF8" w:rsidRDefault="00D62302">
            <w:pPr>
              <w:spacing w:line="259" w:lineRule="auto"/>
              <w:jc w:val="left"/>
              <w:rPr>
                <w:b/>
                <w:sz w:val="18"/>
                <w:szCs w:val="18"/>
              </w:rPr>
            </w:pPr>
            <w:r>
              <w:rPr>
                <w:b/>
                <w:sz w:val="18"/>
                <w:szCs w:val="18"/>
              </w:rPr>
              <w:t>e-mail</w:t>
            </w:r>
          </w:p>
          <w:p w:rsidR="004E4AF8" w:rsidRDefault="004E4AF8">
            <w:pPr>
              <w:spacing w:line="259" w:lineRule="auto"/>
              <w:jc w:val="left"/>
              <w:rPr>
                <w:sz w:val="18"/>
                <w:szCs w:val="18"/>
              </w:rPr>
            </w:pPr>
          </w:p>
          <w:p w:rsidR="004E4AF8" w:rsidRDefault="004E4AF8">
            <w:pPr>
              <w:spacing w:line="259" w:lineRule="auto"/>
              <w:jc w:val="left"/>
              <w:rPr>
                <w:sz w:val="18"/>
                <w:szCs w:val="18"/>
              </w:rPr>
            </w:pPr>
          </w:p>
        </w:tc>
        <w:tc>
          <w:tcPr>
            <w:tcW w:w="3192" w:type="dxa"/>
          </w:tcPr>
          <w:p w:rsidR="004E4AF8" w:rsidRDefault="00D62302">
            <w:pPr>
              <w:spacing w:line="259" w:lineRule="auto"/>
              <w:jc w:val="left"/>
              <w:rPr>
                <w:b/>
                <w:sz w:val="18"/>
                <w:szCs w:val="18"/>
              </w:rPr>
            </w:pPr>
            <w:r>
              <w:rPr>
                <w:b/>
                <w:sz w:val="18"/>
                <w:szCs w:val="18"/>
              </w:rPr>
              <w:t>Telefone</w:t>
            </w:r>
          </w:p>
        </w:tc>
      </w:tr>
      <w:tr w:rsidR="004E4AF8">
        <w:tc>
          <w:tcPr>
            <w:tcW w:w="9628" w:type="dxa"/>
            <w:gridSpan w:val="2"/>
            <w:vAlign w:val="center"/>
          </w:tcPr>
          <w:p w:rsidR="004E4AF8" w:rsidRDefault="00D62302">
            <w:pPr>
              <w:spacing w:line="259" w:lineRule="auto"/>
            </w:pPr>
            <w:r>
              <w:t>Por este instrumento declaro ter ciência das competências do INTEGRANTE TÉCNICO definidas na Resolução CNJ n° XXX, de XX de XXX de 20XX, bem como da minha indicação para exercer esse papel na Equipe de Planejamento da Contratação.</w:t>
            </w:r>
          </w:p>
          <w:p w:rsidR="004E4AF8" w:rsidRDefault="004E4AF8">
            <w:pPr>
              <w:spacing w:line="259" w:lineRule="auto"/>
              <w:jc w:val="center"/>
            </w:pPr>
          </w:p>
          <w:p w:rsidR="004E4AF8" w:rsidRDefault="00D62302">
            <w:pPr>
              <w:spacing w:line="259" w:lineRule="auto"/>
              <w:jc w:val="center"/>
            </w:pPr>
            <w:r>
              <w:t>&lt;</w:t>
            </w:r>
            <w:r>
              <w:rPr>
                <w:color w:val="0F6FC6"/>
              </w:rPr>
              <w:t>Local</w:t>
            </w:r>
            <w:r>
              <w:t>&gt;, &lt;</w:t>
            </w:r>
            <w:r>
              <w:rPr>
                <w:color w:val="0F6FC6"/>
              </w:rPr>
              <w:t>dia</w:t>
            </w:r>
            <w:r>
              <w:t>&gt; de &lt;</w:t>
            </w:r>
            <w:r>
              <w:rPr>
                <w:color w:val="0F6FC6"/>
              </w:rPr>
              <w:t>mês</w:t>
            </w:r>
            <w:r>
              <w:t xml:space="preserve">&gt; </w:t>
            </w:r>
            <w:r>
              <w:t>de &lt;</w:t>
            </w:r>
            <w:r>
              <w:rPr>
                <w:color w:val="0F6FC6"/>
              </w:rPr>
              <w:t>ano</w:t>
            </w:r>
            <w:r>
              <w:t>&gt;.</w:t>
            </w:r>
          </w:p>
          <w:p w:rsidR="004E4AF8" w:rsidRDefault="004E4AF8">
            <w:pPr>
              <w:spacing w:line="259" w:lineRule="auto"/>
              <w:jc w:val="center"/>
            </w:pPr>
          </w:p>
          <w:p w:rsidR="004E4AF8" w:rsidRDefault="00D62302">
            <w:pPr>
              <w:spacing w:line="259" w:lineRule="auto"/>
              <w:jc w:val="center"/>
            </w:pPr>
            <w:r>
              <w:t>__________________________________________</w:t>
            </w:r>
          </w:p>
          <w:p w:rsidR="004E4AF8" w:rsidRDefault="00D62302">
            <w:pPr>
              <w:spacing w:line="259" w:lineRule="auto"/>
              <w:jc w:val="center"/>
            </w:pPr>
            <w:r>
              <w:t>&lt;</w:t>
            </w:r>
            <w:r>
              <w:rPr>
                <w:color w:val="0F6FC6"/>
              </w:rPr>
              <w:t>Nome do Integrante Técnico</w:t>
            </w:r>
            <w:r>
              <w:t>&gt;</w:t>
            </w:r>
          </w:p>
          <w:p w:rsidR="004E4AF8" w:rsidRDefault="004E4AF8">
            <w:pPr>
              <w:spacing w:line="259" w:lineRule="auto"/>
              <w:jc w:val="center"/>
            </w:pPr>
          </w:p>
        </w:tc>
      </w:tr>
    </w:tbl>
    <w:p w:rsidR="004E4AF8" w:rsidRDefault="004E4AF8">
      <w:pPr>
        <w:spacing w:line="259" w:lineRule="auto"/>
        <w:jc w:val="left"/>
      </w:pPr>
    </w:p>
    <w:tbl>
      <w:tblPr>
        <w:tblStyle w:val="afffffffffffffffff"/>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jc w:val="center"/>
              <w:rPr>
                <w:b/>
              </w:rPr>
            </w:pPr>
            <w:r>
              <w:rPr>
                <w:b/>
              </w:rPr>
              <w:t>JUSTIFICATIVA PARA ACUMULAÇÃO</w:t>
            </w:r>
          </w:p>
          <w:p w:rsidR="004E4AF8" w:rsidRDefault="00D62302">
            <w:pPr>
              <w:spacing w:line="259" w:lineRule="auto"/>
              <w:jc w:val="center"/>
              <w:rPr>
                <w:b/>
              </w:rPr>
            </w:pPr>
            <w:r>
              <w:rPr>
                <w:b/>
              </w:rPr>
              <w:t>(</w:t>
            </w:r>
            <w:r>
              <w:rPr>
                <w:b/>
                <w:color w:val="FF0000"/>
              </w:rPr>
              <w:t>CASO APLICÁVEL</w:t>
            </w:r>
            <w:r>
              <w:rPr>
                <w:b/>
              </w:rPr>
              <w:t>)</w:t>
            </w:r>
          </w:p>
        </w:tc>
      </w:tr>
      <w:tr w:rsidR="004E4AF8">
        <w:trPr>
          <w:trHeight w:val="1737"/>
        </w:trPr>
        <w:tc>
          <w:tcPr>
            <w:tcW w:w="9628" w:type="dxa"/>
          </w:tcPr>
          <w:p w:rsidR="004E4AF8" w:rsidRDefault="00D62302">
            <w:pPr>
              <w:spacing w:line="259" w:lineRule="auto"/>
            </w:pPr>
            <w:r>
              <w:t>&lt;</w:t>
            </w:r>
            <w:r>
              <w:rPr>
                <w:color w:val="0F6FC6"/>
              </w:rPr>
              <w:t>Conforme o art. XX da Resolução CNJ n° XXX, de XX de XXX de 2020, os papéis de integrantes da</w:t>
            </w:r>
            <w:r>
              <w:rPr>
                <w:color w:val="0F6FC6"/>
              </w:rPr>
              <w:br/>
            </w:r>
            <w:r>
              <w:rPr>
                <w:color w:val="0F6FC6"/>
              </w:rPr>
              <w:t>Equipe de Planejamento da Contratação não poderão ser acumulados pelo mesmo servidor, salvo quanto aos papéis de Integrante Demandante e Técnico, em casos excepcionais, mediante</w:t>
            </w:r>
            <w:r>
              <w:rPr>
                <w:color w:val="0F6FC6"/>
              </w:rPr>
              <w:br/>
              <w:t>justificativa fundamentada nos autos, aprovado pela autoridade competente da á</w:t>
            </w:r>
            <w:r>
              <w:rPr>
                <w:color w:val="0F6FC6"/>
              </w:rPr>
              <w:t>rea</w:t>
            </w:r>
            <w:r>
              <w:t>&gt;</w:t>
            </w:r>
          </w:p>
        </w:tc>
      </w:tr>
    </w:tbl>
    <w:p w:rsidR="004E4AF8" w:rsidRDefault="004E4AF8">
      <w:pPr>
        <w:spacing w:after="0" w:line="240" w:lineRule="auto"/>
        <w:jc w:val="left"/>
      </w:pPr>
    </w:p>
    <w:tbl>
      <w:tblPr>
        <w:tblStyle w:val="afffffffffffffffff0"/>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jc w:val="center"/>
              <w:rPr>
                <w:b/>
              </w:rPr>
            </w:pPr>
            <w:r>
              <w:rPr>
                <w:b/>
              </w:rPr>
              <w:t>ENCAMINHAMENTO</w:t>
            </w:r>
          </w:p>
        </w:tc>
      </w:tr>
      <w:tr w:rsidR="004E4AF8">
        <w:trPr>
          <w:trHeight w:val="1737"/>
        </w:trPr>
        <w:tc>
          <w:tcPr>
            <w:tcW w:w="9628" w:type="dxa"/>
          </w:tcPr>
          <w:p w:rsidR="004E4AF8" w:rsidRDefault="004E4AF8">
            <w:pPr>
              <w:spacing w:line="259" w:lineRule="auto"/>
              <w:jc w:val="left"/>
            </w:pPr>
          </w:p>
          <w:p w:rsidR="004E4AF8" w:rsidRDefault="00D62302">
            <w:pPr>
              <w:spacing w:line="259" w:lineRule="auto"/>
              <w:jc w:val="left"/>
            </w:pPr>
            <w:r>
              <w:t xml:space="preserve">Encaminhe-se à autoridade competente da Área Administrativa, que deverá: </w:t>
            </w:r>
          </w:p>
          <w:p w:rsidR="004E4AF8" w:rsidRDefault="00D62302">
            <w:pPr>
              <w:spacing w:line="259" w:lineRule="auto"/>
              <w:jc w:val="left"/>
            </w:pPr>
            <w:r>
              <w:t>I. Decidir motivadamente sobre o prosseguimento da contratação;</w:t>
            </w:r>
          </w:p>
          <w:p w:rsidR="004E4AF8" w:rsidRDefault="00D62302">
            <w:pPr>
              <w:spacing w:line="259" w:lineRule="auto"/>
              <w:jc w:val="left"/>
            </w:pPr>
            <w:r>
              <w:t>II. Indicar o Integrante Administrativo para composição da Equipe de Planejamento da</w:t>
            </w:r>
          </w:p>
          <w:p w:rsidR="004E4AF8" w:rsidRDefault="00D62302">
            <w:pPr>
              <w:spacing w:line="259" w:lineRule="auto"/>
              <w:jc w:val="left"/>
            </w:pPr>
            <w:r>
              <w:t>Contratação, quando da continuidade da contratação; e</w:t>
            </w:r>
          </w:p>
          <w:p w:rsidR="004E4AF8" w:rsidRDefault="00D62302">
            <w:pPr>
              <w:spacing w:line="259" w:lineRule="auto"/>
              <w:jc w:val="left"/>
            </w:pPr>
            <w:r>
              <w:t>III. Instituir a Equipe de Planejamento da Contratação, conforme exposto no inciso IV do art.</w:t>
            </w:r>
          </w:p>
          <w:p w:rsidR="004E4AF8" w:rsidRDefault="00D62302">
            <w:pPr>
              <w:spacing w:line="259" w:lineRule="auto"/>
              <w:jc w:val="left"/>
            </w:pPr>
            <w:r>
              <w:rPr>
                <w:color w:val="0F6FC6"/>
              </w:rPr>
              <w:t>XX</w:t>
            </w:r>
            <w:r>
              <w:t xml:space="preserve">, e inciso </w:t>
            </w:r>
            <w:r>
              <w:rPr>
                <w:color w:val="0F6FC6"/>
              </w:rPr>
              <w:t xml:space="preserve">XX </w:t>
            </w:r>
            <w:r>
              <w:t>do §</w:t>
            </w:r>
            <w:r>
              <w:rPr>
                <w:color w:val="0F6FC6"/>
              </w:rPr>
              <w:t xml:space="preserve">XXº </w:t>
            </w:r>
            <w:r>
              <w:t xml:space="preserve">do art. </w:t>
            </w:r>
            <w:r>
              <w:rPr>
                <w:color w:val="0F6FC6"/>
              </w:rPr>
              <w:t xml:space="preserve">XX </w:t>
            </w:r>
            <w:r>
              <w:t xml:space="preserve">da Resolução CNJ nº </w:t>
            </w:r>
            <w:r>
              <w:rPr>
                <w:color w:val="0F6FC6"/>
              </w:rPr>
              <w:t xml:space="preserve">XXX </w:t>
            </w:r>
            <w:r>
              <w:t xml:space="preserve">de </w:t>
            </w:r>
            <w:r>
              <w:rPr>
                <w:color w:val="0F6FC6"/>
              </w:rPr>
              <w:t xml:space="preserve">XXX </w:t>
            </w:r>
            <w:r>
              <w:t xml:space="preserve">de </w:t>
            </w:r>
            <w:r>
              <w:rPr>
                <w:color w:val="0F6FC6"/>
              </w:rPr>
              <w:t>XXXX</w:t>
            </w:r>
            <w:r>
              <w:t>.</w:t>
            </w:r>
          </w:p>
          <w:p w:rsidR="004E4AF8" w:rsidRDefault="004E4AF8">
            <w:pPr>
              <w:spacing w:line="259" w:lineRule="auto"/>
              <w:jc w:val="left"/>
            </w:pPr>
          </w:p>
          <w:p w:rsidR="004E4AF8" w:rsidRDefault="00D62302">
            <w:pPr>
              <w:spacing w:line="259" w:lineRule="auto"/>
              <w:jc w:val="center"/>
            </w:pPr>
            <w:r>
              <w:t>&lt;</w:t>
            </w:r>
            <w:r>
              <w:rPr>
                <w:color w:val="0F6FC6"/>
              </w:rPr>
              <w:t>Local</w:t>
            </w:r>
            <w:r>
              <w:t xml:space="preserve">&gt;, </w:t>
            </w:r>
            <w:r>
              <w:rPr>
                <w:color w:val="0F6FC6"/>
              </w:rPr>
              <w:t xml:space="preserve">XX </w:t>
            </w:r>
            <w:r>
              <w:t xml:space="preserve">de </w:t>
            </w:r>
            <w:r>
              <w:rPr>
                <w:color w:val="0F6FC6"/>
              </w:rPr>
              <w:t xml:space="preserve">XXXXXXXXXX </w:t>
            </w:r>
            <w:r>
              <w:t xml:space="preserve">de </w:t>
            </w:r>
            <w:r>
              <w:rPr>
                <w:color w:val="0F6FC6"/>
              </w:rPr>
              <w:t>20XX</w:t>
            </w:r>
            <w:r>
              <w:t>.</w:t>
            </w:r>
          </w:p>
          <w:p w:rsidR="004E4AF8" w:rsidRDefault="00D62302">
            <w:pPr>
              <w:spacing w:line="259" w:lineRule="auto"/>
              <w:jc w:val="center"/>
            </w:pPr>
            <w:r>
              <w:t>__________________________________________________</w:t>
            </w:r>
          </w:p>
          <w:p w:rsidR="004E4AF8" w:rsidRDefault="00D62302">
            <w:pPr>
              <w:spacing w:line="259" w:lineRule="auto"/>
              <w:jc w:val="center"/>
            </w:pPr>
            <w:r>
              <w:t>&lt;</w:t>
            </w:r>
            <w:r>
              <w:rPr>
                <w:color w:val="0F6FC6"/>
              </w:rPr>
              <w:t>Nome do Titular da Área de TIC</w:t>
            </w:r>
            <w:r>
              <w:t>&gt;</w:t>
            </w:r>
          </w:p>
          <w:p w:rsidR="004E4AF8" w:rsidRDefault="004E4AF8">
            <w:pPr>
              <w:spacing w:line="259" w:lineRule="auto"/>
              <w:jc w:val="center"/>
            </w:pPr>
          </w:p>
        </w:tc>
      </w:tr>
    </w:tbl>
    <w:p w:rsidR="004E4AF8" w:rsidRDefault="004E4AF8">
      <w:pPr>
        <w:spacing w:after="0" w:line="240" w:lineRule="auto"/>
        <w:jc w:val="left"/>
      </w:pPr>
    </w:p>
    <w:p w:rsidR="004E4AF8" w:rsidRDefault="00D62302">
      <w:pPr>
        <w:spacing w:line="259" w:lineRule="auto"/>
      </w:pPr>
      <w:r>
        <w:t>OBS.: &lt;</w:t>
      </w:r>
      <w:r>
        <w:rPr>
          <w:color w:val="0F6FC6"/>
        </w:rPr>
        <w:t>As atividades atribuídas à autoridade da Área Administrativa poderão ser realizada sem documentos apartados (como Despacho ou Portaria), e devem ser incluíd</w:t>
      </w:r>
      <w:r>
        <w:rPr>
          <w:color w:val="0F6FC6"/>
        </w:rPr>
        <w:t>os no processo administrativo da contratação</w:t>
      </w:r>
      <w:r>
        <w:t>&gt;.</w:t>
      </w:r>
    </w:p>
    <w:p w:rsidR="004E4AF8" w:rsidRDefault="004E4AF8">
      <w:pPr>
        <w:spacing w:after="0" w:line="240" w:lineRule="auto"/>
        <w:jc w:val="left"/>
      </w:pPr>
    </w:p>
    <w:tbl>
      <w:tblPr>
        <w:tblStyle w:val="afffffffffffffffff1"/>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jc w:val="center"/>
              <w:rPr>
                <w:b/>
              </w:rPr>
            </w:pPr>
            <w:r>
              <w:rPr>
                <w:b/>
              </w:rPr>
              <w:t>PREENCHIMENTO PELA ÁREA ADMINISTRATIVO</w:t>
            </w:r>
          </w:p>
        </w:tc>
      </w:tr>
    </w:tbl>
    <w:p w:rsidR="004E4AF8" w:rsidRDefault="004E4AF8">
      <w:pPr>
        <w:spacing w:after="0" w:line="240" w:lineRule="auto"/>
        <w:jc w:val="left"/>
      </w:pPr>
    </w:p>
    <w:tbl>
      <w:tblPr>
        <w:tblStyle w:val="afffffffffffffffff2"/>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rPr>
                <w:b/>
              </w:rPr>
            </w:pPr>
            <w:r>
              <w:rPr>
                <w:b/>
              </w:rPr>
              <w:t>13 – DECISÃO DA AUTORIDADE COMPETENTE</w:t>
            </w:r>
          </w:p>
        </w:tc>
      </w:tr>
      <w:tr w:rsidR="004E4AF8">
        <w:trPr>
          <w:trHeight w:val="673"/>
        </w:trPr>
        <w:tc>
          <w:tcPr>
            <w:tcW w:w="9628" w:type="dxa"/>
            <w:vAlign w:val="center"/>
          </w:tcPr>
          <w:p w:rsidR="004E4AF8" w:rsidRDefault="00D62302">
            <w:pPr>
              <w:spacing w:line="259" w:lineRule="auto"/>
              <w:jc w:val="left"/>
            </w:pPr>
            <w:r>
              <w:t>&lt;</w:t>
            </w:r>
            <w:r>
              <w:rPr>
                <w:color w:val="0F6FC6"/>
              </w:rPr>
              <w:t>Texto da decisão motivada sobre o prosseguimento da contratação</w:t>
            </w:r>
            <w:r>
              <w:t>&gt;</w:t>
            </w:r>
          </w:p>
        </w:tc>
      </w:tr>
    </w:tbl>
    <w:p w:rsidR="004E4AF8" w:rsidRDefault="004E4AF8">
      <w:pPr>
        <w:spacing w:after="0" w:line="240" w:lineRule="auto"/>
        <w:jc w:val="left"/>
      </w:pPr>
    </w:p>
    <w:tbl>
      <w:tblPr>
        <w:tblStyle w:val="afffffffffffffffff3"/>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6436"/>
        <w:gridCol w:w="3192"/>
      </w:tblGrid>
      <w:tr w:rsidR="004E4AF8">
        <w:tc>
          <w:tcPr>
            <w:tcW w:w="9628" w:type="dxa"/>
            <w:gridSpan w:val="2"/>
            <w:tcBorders>
              <w:top w:val="single" w:sz="4" w:space="0" w:color="000000"/>
            </w:tcBorders>
            <w:shd w:val="clear" w:color="auto" w:fill="BFBFBF"/>
          </w:tcPr>
          <w:p w:rsidR="004E4AF8" w:rsidRDefault="00D62302">
            <w:pPr>
              <w:spacing w:line="259" w:lineRule="auto"/>
              <w:jc w:val="left"/>
              <w:rPr>
                <w:b/>
              </w:rPr>
            </w:pPr>
            <w:r>
              <w:rPr>
                <w:b/>
              </w:rPr>
              <w:t>12 – IDENTIFICAÇÃO E CIÊNCIA DO INTEGRANTE ADMINISTRATIVO</w:t>
            </w:r>
          </w:p>
        </w:tc>
      </w:tr>
      <w:tr w:rsidR="004E4AF8">
        <w:tc>
          <w:tcPr>
            <w:tcW w:w="6436" w:type="dxa"/>
          </w:tcPr>
          <w:p w:rsidR="004E4AF8" w:rsidRDefault="00D62302">
            <w:pPr>
              <w:spacing w:line="259" w:lineRule="auto"/>
              <w:jc w:val="left"/>
              <w:rPr>
                <w:sz w:val="18"/>
                <w:szCs w:val="18"/>
              </w:rPr>
            </w:pPr>
            <w:r>
              <w:rPr>
                <w:b/>
                <w:sz w:val="18"/>
                <w:szCs w:val="18"/>
              </w:rPr>
              <w:t>Nome</w:t>
            </w:r>
          </w:p>
          <w:p w:rsidR="004E4AF8" w:rsidRDefault="004E4AF8">
            <w:pPr>
              <w:spacing w:line="259" w:lineRule="auto"/>
              <w:jc w:val="left"/>
            </w:pPr>
          </w:p>
          <w:p w:rsidR="004E4AF8" w:rsidRDefault="004E4AF8">
            <w:pPr>
              <w:spacing w:line="259" w:lineRule="auto"/>
              <w:jc w:val="left"/>
            </w:pPr>
          </w:p>
        </w:tc>
        <w:tc>
          <w:tcPr>
            <w:tcW w:w="3192" w:type="dxa"/>
          </w:tcPr>
          <w:p w:rsidR="004E4AF8" w:rsidRDefault="00D62302">
            <w:pPr>
              <w:spacing w:line="259" w:lineRule="auto"/>
              <w:jc w:val="left"/>
              <w:rPr>
                <w:b/>
                <w:sz w:val="18"/>
                <w:szCs w:val="18"/>
              </w:rPr>
            </w:pPr>
            <w:r>
              <w:rPr>
                <w:b/>
                <w:sz w:val="18"/>
                <w:szCs w:val="18"/>
              </w:rPr>
              <w:t>Matrícula</w:t>
            </w:r>
          </w:p>
          <w:p w:rsidR="004E4AF8" w:rsidRDefault="004E4AF8">
            <w:pPr>
              <w:spacing w:line="259" w:lineRule="auto"/>
              <w:jc w:val="left"/>
              <w:rPr>
                <w:b/>
                <w:sz w:val="18"/>
                <w:szCs w:val="18"/>
              </w:rPr>
            </w:pPr>
          </w:p>
        </w:tc>
      </w:tr>
      <w:tr w:rsidR="004E4AF8">
        <w:tc>
          <w:tcPr>
            <w:tcW w:w="6436" w:type="dxa"/>
          </w:tcPr>
          <w:p w:rsidR="004E4AF8" w:rsidRDefault="00D62302">
            <w:pPr>
              <w:spacing w:line="259" w:lineRule="auto"/>
              <w:jc w:val="left"/>
              <w:rPr>
                <w:b/>
                <w:sz w:val="18"/>
                <w:szCs w:val="18"/>
              </w:rPr>
            </w:pPr>
            <w:r>
              <w:rPr>
                <w:b/>
                <w:sz w:val="18"/>
                <w:szCs w:val="18"/>
              </w:rPr>
              <w:t>Cargo</w:t>
            </w:r>
          </w:p>
          <w:p w:rsidR="004E4AF8" w:rsidRDefault="004E4AF8">
            <w:pPr>
              <w:spacing w:line="259" w:lineRule="auto"/>
              <w:jc w:val="left"/>
              <w:rPr>
                <w:b/>
                <w:sz w:val="18"/>
                <w:szCs w:val="18"/>
              </w:rPr>
            </w:pPr>
          </w:p>
          <w:p w:rsidR="004E4AF8" w:rsidRDefault="004E4AF8">
            <w:pPr>
              <w:spacing w:line="259" w:lineRule="auto"/>
              <w:jc w:val="left"/>
              <w:rPr>
                <w:b/>
                <w:sz w:val="18"/>
                <w:szCs w:val="18"/>
              </w:rPr>
            </w:pPr>
          </w:p>
        </w:tc>
        <w:tc>
          <w:tcPr>
            <w:tcW w:w="3192" w:type="dxa"/>
          </w:tcPr>
          <w:p w:rsidR="004E4AF8" w:rsidRDefault="00D62302">
            <w:pPr>
              <w:spacing w:line="259" w:lineRule="auto"/>
              <w:jc w:val="left"/>
              <w:rPr>
                <w:b/>
                <w:sz w:val="18"/>
                <w:szCs w:val="18"/>
              </w:rPr>
            </w:pPr>
            <w:r>
              <w:rPr>
                <w:b/>
                <w:sz w:val="18"/>
                <w:szCs w:val="18"/>
              </w:rPr>
              <w:t>Lotação</w:t>
            </w:r>
          </w:p>
          <w:p w:rsidR="004E4AF8" w:rsidRDefault="004E4AF8">
            <w:pPr>
              <w:spacing w:line="259" w:lineRule="auto"/>
              <w:jc w:val="left"/>
              <w:rPr>
                <w:b/>
                <w:sz w:val="18"/>
                <w:szCs w:val="18"/>
              </w:rPr>
            </w:pPr>
          </w:p>
        </w:tc>
      </w:tr>
      <w:tr w:rsidR="004E4AF8">
        <w:tc>
          <w:tcPr>
            <w:tcW w:w="6436" w:type="dxa"/>
          </w:tcPr>
          <w:p w:rsidR="004E4AF8" w:rsidRDefault="00D62302">
            <w:pPr>
              <w:spacing w:line="259" w:lineRule="auto"/>
              <w:jc w:val="left"/>
              <w:rPr>
                <w:b/>
                <w:sz w:val="18"/>
                <w:szCs w:val="18"/>
              </w:rPr>
            </w:pPr>
            <w:r>
              <w:rPr>
                <w:b/>
                <w:sz w:val="18"/>
                <w:szCs w:val="18"/>
              </w:rPr>
              <w:t>e-mail</w:t>
            </w:r>
          </w:p>
          <w:p w:rsidR="004E4AF8" w:rsidRDefault="004E4AF8">
            <w:pPr>
              <w:spacing w:line="259" w:lineRule="auto"/>
              <w:jc w:val="left"/>
              <w:rPr>
                <w:b/>
                <w:sz w:val="18"/>
                <w:szCs w:val="18"/>
              </w:rPr>
            </w:pPr>
          </w:p>
          <w:p w:rsidR="004E4AF8" w:rsidRDefault="004E4AF8">
            <w:pPr>
              <w:spacing w:line="259" w:lineRule="auto"/>
              <w:jc w:val="left"/>
              <w:rPr>
                <w:b/>
                <w:sz w:val="18"/>
                <w:szCs w:val="18"/>
              </w:rPr>
            </w:pPr>
          </w:p>
        </w:tc>
        <w:tc>
          <w:tcPr>
            <w:tcW w:w="3192" w:type="dxa"/>
          </w:tcPr>
          <w:p w:rsidR="004E4AF8" w:rsidRDefault="00D62302">
            <w:pPr>
              <w:spacing w:line="259" w:lineRule="auto"/>
              <w:jc w:val="left"/>
              <w:rPr>
                <w:b/>
                <w:sz w:val="18"/>
                <w:szCs w:val="18"/>
              </w:rPr>
            </w:pPr>
            <w:r>
              <w:rPr>
                <w:b/>
                <w:sz w:val="18"/>
                <w:szCs w:val="18"/>
              </w:rPr>
              <w:lastRenderedPageBreak/>
              <w:t>Telefone</w:t>
            </w:r>
          </w:p>
        </w:tc>
      </w:tr>
      <w:tr w:rsidR="004E4AF8">
        <w:tc>
          <w:tcPr>
            <w:tcW w:w="9628" w:type="dxa"/>
            <w:gridSpan w:val="2"/>
            <w:vAlign w:val="center"/>
          </w:tcPr>
          <w:p w:rsidR="004E4AF8" w:rsidRDefault="00D62302">
            <w:pPr>
              <w:spacing w:line="259" w:lineRule="auto"/>
            </w:pPr>
            <w:r>
              <w:t xml:space="preserve">Por este instrumento declaro ter ciência das competências do INTEGRANTE ADMINISTRATIVO definidas na Resolução CNJ n° </w:t>
            </w:r>
            <w:r>
              <w:rPr>
                <w:color w:val="0F6FC6"/>
              </w:rPr>
              <w:t>XXX</w:t>
            </w:r>
            <w:r>
              <w:t xml:space="preserve">, de </w:t>
            </w:r>
            <w:r>
              <w:rPr>
                <w:color w:val="0F6FC6"/>
              </w:rPr>
              <w:t xml:space="preserve">XX </w:t>
            </w:r>
            <w:r>
              <w:t xml:space="preserve">de </w:t>
            </w:r>
            <w:r>
              <w:rPr>
                <w:color w:val="0F6FC6"/>
              </w:rPr>
              <w:t xml:space="preserve">XXX </w:t>
            </w:r>
            <w:r>
              <w:t xml:space="preserve">de </w:t>
            </w:r>
            <w:r>
              <w:rPr>
                <w:color w:val="0F6FC6"/>
              </w:rPr>
              <w:t>20XX</w:t>
            </w:r>
            <w:r>
              <w:t>, bem como da minha indicação para exercer esse papel na Equipe de Planejamento da Contratação.</w:t>
            </w:r>
          </w:p>
          <w:p w:rsidR="004E4AF8" w:rsidRDefault="004E4AF8">
            <w:pPr>
              <w:spacing w:line="259" w:lineRule="auto"/>
              <w:jc w:val="center"/>
            </w:pPr>
          </w:p>
          <w:p w:rsidR="004E4AF8" w:rsidRDefault="00D62302">
            <w:pPr>
              <w:spacing w:line="259" w:lineRule="auto"/>
              <w:jc w:val="center"/>
            </w:pPr>
            <w:r>
              <w:t>&lt;</w:t>
            </w:r>
            <w:r>
              <w:rPr>
                <w:color w:val="0F6FC6"/>
              </w:rPr>
              <w:t>Local</w:t>
            </w:r>
            <w:r>
              <w:t>&gt;, &lt;</w:t>
            </w:r>
            <w:r>
              <w:rPr>
                <w:color w:val="0F6FC6"/>
              </w:rPr>
              <w:t>dia</w:t>
            </w:r>
            <w:r>
              <w:t>&gt; de &lt;</w:t>
            </w:r>
            <w:r>
              <w:rPr>
                <w:color w:val="0F6FC6"/>
              </w:rPr>
              <w:t>mês</w:t>
            </w:r>
            <w:r>
              <w:t>&gt; de &lt;</w:t>
            </w:r>
            <w:r>
              <w:rPr>
                <w:color w:val="0F6FC6"/>
              </w:rPr>
              <w:t>ano</w:t>
            </w:r>
            <w:r>
              <w:t>&gt;.</w:t>
            </w:r>
          </w:p>
          <w:p w:rsidR="004E4AF8" w:rsidRDefault="004E4AF8">
            <w:pPr>
              <w:spacing w:line="259" w:lineRule="auto"/>
              <w:jc w:val="center"/>
            </w:pPr>
          </w:p>
          <w:p w:rsidR="004E4AF8" w:rsidRDefault="00D62302">
            <w:pPr>
              <w:spacing w:line="259" w:lineRule="auto"/>
              <w:jc w:val="center"/>
            </w:pPr>
            <w:r>
              <w:t>__________________________________________</w:t>
            </w:r>
          </w:p>
          <w:p w:rsidR="004E4AF8" w:rsidRDefault="00D62302">
            <w:pPr>
              <w:spacing w:line="259" w:lineRule="auto"/>
              <w:jc w:val="center"/>
            </w:pPr>
            <w:r>
              <w:t>&lt;</w:t>
            </w:r>
            <w:r>
              <w:rPr>
                <w:color w:val="0F6FC6"/>
              </w:rPr>
              <w:t>Nome do Integrante Administrativo</w:t>
            </w:r>
            <w:r>
              <w:t>&gt;</w:t>
            </w:r>
          </w:p>
          <w:p w:rsidR="004E4AF8" w:rsidRDefault="004E4AF8">
            <w:pPr>
              <w:spacing w:line="259" w:lineRule="auto"/>
              <w:jc w:val="center"/>
            </w:pPr>
          </w:p>
        </w:tc>
      </w:tr>
    </w:tbl>
    <w:p w:rsidR="004E4AF8" w:rsidRDefault="004E4AF8">
      <w:pPr>
        <w:spacing w:line="259" w:lineRule="auto"/>
        <w:jc w:val="left"/>
      </w:pPr>
    </w:p>
    <w:p w:rsidR="004E4AF8" w:rsidRDefault="00D62302">
      <w:pPr>
        <w:spacing w:line="259" w:lineRule="auto"/>
      </w:pPr>
      <w:r>
        <w:t xml:space="preserve">Fica instituída a Equipe de Planejamento da Contratação, conforme dispõe o art. </w:t>
      </w:r>
      <w:r>
        <w:rPr>
          <w:color w:val="0F6FC6"/>
        </w:rPr>
        <w:t xml:space="preserve">XX </w:t>
      </w:r>
      <w:r>
        <w:t xml:space="preserve">da Resolução CNJ n° </w:t>
      </w:r>
      <w:r>
        <w:rPr>
          <w:color w:val="0F6FC6"/>
        </w:rPr>
        <w:t>XXX</w:t>
      </w:r>
      <w:r>
        <w:t xml:space="preserve">, de </w:t>
      </w:r>
      <w:r>
        <w:rPr>
          <w:color w:val="0F6FC6"/>
        </w:rPr>
        <w:t xml:space="preserve">XX </w:t>
      </w:r>
      <w:r>
        <w:t xml:space="preserve">de </w:t>
      </w:r>
      <w:r>
        <w:rPr>
          <w:color w:val="0F6FC6"/>
        </w:rPr>
        <w:t xml:space="preserve">XXX </w:t>
      </w:r>
      <w:r>
        <w:t xml:space="preserve">de </w:t>
      </w:r>
      <w:r>
        <w:rPr>
          <w:color w:val="0F6FC6"/>
        </w:rPr>
        <w:t>20XX</w:t>
      </w:r>
      <w:r>
        <w:t>.</w:t>
      </w:r>
    </w:p>
    <w:p w:rsidR="004E4AF8" w:rsidRDefault="00D62302">
      <w:pPr>
        <w:spacing w:line="259" w:lineRule="auto"/>
      </w:pPr>
      <w:r>
        <w:t xml:space="preserve">Conforme o art. </w:t>
      </w:r>
      <w:r>
        <w:rPr>
          <w:color w:val="0F6FC6"/>
        </w:rPr>
        <w:t xml:space="preserve">XX </w:t>
      </w:r>
      <w:r>
        <w:t xml:space="preserve">da Instrução Normativa CNJ n° </w:t>
      </w:r>
      <w:r>
        <w:rPr>
          <w:color w:val="0F6FC6"/>
        </w:rPr>
        <w:t>XXX</w:t>
      </w:r>
      <w:r>
        <w:t xml:space="preserve">, de </w:t>
      </w:r>
      <w:r>
        <w:rPr>
          <w:color w:val="0F6FC6"/>
        </w:rPr>
        <w:t xml:space="preserve">XX </w:t>
      </w:r>
      <w:r>
        <w:t xml:space="preserve">de </w:t>
      </w:r>
      <w:r>
        <w:rPr>
          <w:color w:val="0F6FC6"/>
        </w:rPr>
        <w:t xml:space="preserve">XXX </w:t>
      </w:r>
      <w:r>
        <w:t xml:space="preserve">de </w:t>
      </w:r>
      <w:r>
        <w:rPr>
          <w:color w:val="0F6FC6"/>
        </w:rPr>
        <w:t>20XX</w:t>
      </w:r>
      <w:r>
        <w:t>, a Equipe de Planejamento da Contratação será autom</w:t>
      </w:r>
      <w:r>
        <w:t>aticamente destituída quando da assinatura do contrato.</w:t>
      </w:r>
    </w:p>
    <w:p w:rsidR="004E4AF8" w:rsidRDefault="00D62302">
      <w:pPr>
        <w:spacing w:line="240" w:lineRule="auto"/>
        <w:jc w:val="center"/>
      </w:pPr>
      <w:r>
        <w:t>&lt;</w:t>
      </w:r>
      <w:r>
        <w:rPr>
          <w:color w:val="0F6FC6"/>
        </w:rPr>
        <w:t>Local</w:t>
      </w:r>
      <w:r>
        <w:t xml:space="preserve">&gt;, </w:t>
      </w:r>
      <w:r>
        <w:rPr>
          <w:color w:val="0F6FC6"/>
        </w:rPr>
        <w:t xml:space="preserve">XX </w:t>
      </w:r>
      <w:r>
        <w:t xml:space="preserve">de </w:t>
      </w:r>
      <w:r>
        <w:rPr>
          <w:color w:val="0F6FC6"/>
        </w:rPr>
        <w:t xml:space="preserve">XXXXXXXXXXXX </w:t>
      </w:r>
      <w:r>
        <w:t xml:space="preserve">de </w:t>
      </w:r>
      <w:r>
        <w:rPr>
          <w:color w:val="0F6FC6"/>
        </w:rPr>
        <w:t>20XX</w:t>
      </w:r>
      <w:r>
        <w:t>.</w:t>
      </w:r>
    </w:p>
    <w:p w:rsidR="004E4AF8" w:rsidRDefault="00D62302">
      <w:pPr>
        <w:spacing w:line="240" w:lineRule="auto"/>
        <w:jc w:val="center"/>
      </w:pPr>
      <w:r>
        <w:t>______________________________________________________________________</w:t>
      </w:r>
    </w:p>
    <w:p w:rsidR="004E4AF8" w:rsidRDefault="00D62302">
      <w:pPr>
        <w:spacing w:line="240" w:lineRule="auto"/>
        <w:jc w:val="center"/>
      </w:pPr>
      <w:r>
        <w:t>&lt;</w:t>
      </w:r>
      <w:r>
        <w:rPr>
          <w:color w:val="0F6FC6"/>
        </w:rPr>
        <w:t>Nome da Autoridade Competente da Área Administrativa</w:t>
      </w:r>
      <w:r>
        <w:t>&gt;</w:t>
      </w:r>
    </w:p>
    <w:p w:rsidR="004E4AF8" w:rsidRDefault="004E4AF8">
      <w:pPr>
        <w:spacing w:line="259" w:lineRule="auto"/>
        <w:jc w:val="left"/>
      </w:pPr>
    </w:p>
    <w:p w:rsidR="004E4AF8" w:rsidRDefault="00D62302">
      <w:pPr>
        <w:spacing w:line="259" w:lineRule="auto"/>
        <w:jc w:val="left"/>
      </w:pPr>
      <w:r>
        <w:br w:type="page"/>
      </w:r>
    </w:p>
    <w:p w:rsidR="004E4AF8" w:rsidRDefault="00D62302">
      <w:pPr>
        <w:pStyle w:val="Ttulo2"/>
        <w:numPr>
          <w:ilvl w:val="1"/>
          <w:numId w:val="5"/>
        </w:numPr>
      </w:pPr>
      <w:bookmarkStart w:id="31" w:name="_heading=h.1pxezwc" w:colFirst="0" w:colLast="0"/>
      <w:bookmarkEnd w:id="31"/>
      <w:r>
        <w:lastRenderedPageBreak/>
        <w:t>Estudo Técnico Preliminar – ETP</w:t>
      </w:r>
    </w:p>
    <w:p w:rsidR="004E4AF8" w:rsidRDefault="004E4AF8">
      <w:pPr>
        <w:jc w:val="center"/>
        <w:rPr>
          <w:b/>
          <w:sz w:val="32"/>
          <w:szCs w:val="32"/>
        </w:rPr>
      </w:pPr>
    </w:p>
    <w:p w:rsidR="004E4AF8" w:rsidRDefault="004E4AF8">
      <w:pPr>
        <w:jc w:val="center"/>
        <w:rPr>
          <w:b/>
          <w:sz w:val="32"/>
          <w:szCs w:val="32"/>
        </w:rPr>
      </w:pPr>
    </w:p>
    <w:p w:rsidR="004E4AF8" w:rsidRDefault="00D62302">
      <w:pPr>
        <w:jc w:val="center"/>
        <w:rPr>
          <w:b/>
        </w:rPr>
      </w:pPr>
      <w:r>
        <w:rPr>
          <w:b/>
          <w:sz w:val="32"/>
          <w:szCs w:val="32"/>
        </w:rPr>
        <w:t xml:space="preserve">ESTUDO TÉCNICO PRELIMINAR – ETP </w:t>
      </w: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Processo Administrativo nº &lt;</w:t>
      </w:r>
      <w:r>
        <w:rPr>
          <w:b/>
          <w:color w:val="0F6FC6"/>
          <w:sz w:val="28"/>
          <w:szCs w:val="28"/>
        </w:rPr>
        <w:t>XXXXXXXXXXXXXXX</w:t>
      </w:r>
      <w:r>
        <w:rPr>
          <w:b/>
          <w:sz w:val="28"/>
          <w:szCs w:val="28"/>
        </w:rPr>
        <w:t>&gt;</w:t>
      </w:r>
    </w:p>
    <w:p w:rsidR="004E4AF8" w:rsidRDefault="004E4AF8">
      <w:pPr>
        <w:jc w:val="center"/>
      </w:pP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&lt;</w:t>
      </w:r>
      <w:r>
        <w:rPr>
          <w:b/>
          <w:color w:val="0F6FC6"/>
          <w:sz w:val="28"/>
          <w:szCs w:val="28"/>
        </w:rPr>
        <w:t>Nome do Projeto / Solução</w:t>
      </w:r>
      <w:r>
        <w:rPr>
          <w:b/>
          <w:sz w:val="28"/>
          <w:szCs w:val="28"/>
        </w:rPr>
        <w:t>&gt;</w:t>
      </w: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&lt;</w:t>
      </w:r>
      <w:r>
        <w:rPr>
          <w:b/>
          <w:color w:val="0F6FC6"/>
          <w:sz w:val="28"/>
          <w:szCs w:val="28"/>
        </w:rPr>
        <w:t>local</w:t>
      </w:r>
      <w:r>
        <w:rPr>
          <w:b/>
          <w:sz w:val="28"/>
          <w:szCs w:val="28"/>
        </w:rPr>
        <w:t>&gt;, &lt;</w:t>
      </w:r>
      <w:r>
        <w:rPr>
          <w:b/>
          <w:color w:val="0F6FC6"/>
          <w:sz w:val="28"/>
          <w:szCs w:val="28"/>
        </w:rPr>
        <w:t>mês</w:t>
      </w:r>
      <w:r>
        <w:rPr>
          <w:b/>
          <w:sz w:val="28"/>
          <w:szCs w:val="28"/>
        </w:rPr>
        <w:t>&gt; de &lt;</w:t>
      </w:r>
      <w:r>
        <w:rPr>
          <w:b/>
          <w:color w:val="0F6FC6"/>
          <w:sz w:val="28"/>
          <w:szCs w:val="28"/>
        </w:rPr>
        <w:t>ano</w:t>
      </w:r>
      <w:r>
        <w:rPr>
          <w:b/>
          <w:sz w:val="28"/>
          <w:szCs w:val="28"/>
        </w:rPr>
        <w:t>&gt;</w:t>
      </w:r>
    </w:p>
    <w:p w:rsidR="004E4AF8" w:rsidRDefault="00D62302">
      <w:pPr>
        <w:spacing w:line="259" w:lineRule="auto"/>
        <w:jc w:val="left"/>
      </w:pPr>
      <w:r>
        <w:br w:type="page"/>
      </w:r>
    </w:p>
    <w:p w:rsidR="004E4AF8" w:rsidRDefault="00D62302">
      <w:pPr>
        <w:jc w:val="center"/>
        <w:rPr>
          <w:b/>
        </w:rPr>
      </w:pPr>
      <w:r>
        <w:rPr>
          <w:b/>
        </w:rPr>
        <w:lastRenderedPageBreak/>
        <w:t>HISTÓRICO DE REVISÕES</w:t>
      </w:r>
    </w:p>
    <w:tbl>
      <w:tblPr>
        <w:tblStyle w:val="afffffffffffffffff4"/>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1696"/>
        <w:gridCol w:w="1276"/>
        <w:gridCol w:w="4111"/>
        <w:gridCol w:w="2545"/>
      </w:tblGrid>
      <w:tr w:rsidR="004E4AF8" w:rsidTr="004E4AF8">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t>DATA</w:t>
            </w:r>
          </w:p>
        </w:tc>
        <w:tc>
          <w:tcPr>
            <w:tcW w:w="1276"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VERSÃO</w:t>
            </w:r>
          </w:p>
        </w:tc>
        <w:tc>
          <w:tcPr>
            <w:tcW w:w="4111"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DESCRIÇÃO</w:t>
            </w:r>
          </w:p>
        </w:tc>
        <w:tc>
          <w:tcPr>
            <w:tcW w:w="254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AUTOR</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pPr>
            <w:r>
              <w:t>1.0</w:t>
            </w:r>
          </w:p>
        </w:tc>
        <w:tc>
          <w:tcPr>
            <w:tcW w:w="4111"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color w:val="0F6FC6"/>
              </w:rPr>
            </w:pPr>
            <w:r>
              <w:rPr>
                <w:color w:val="0F6FC6"/>
              </w:rPr>
              <w:t>Finalização da primeira versão do documento</w:t>
            </w:r>
          </w:p>
        </w:tc>
        <w:tc>
          <w:tcPr>
            <w:tcW w:w="25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0F6FC6"/>
              </w:rPr>
            </w:pPr>
            <w:r>
              <w:rPr>
                <w:color w:val="0F6FC6"/>
              </w:rPr>
              <w:t>XXXXXXXXXXX</w:t>
            </w: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pPr>
            <w:r>
              <w:t>2.0</w:t>
            </w:r>
          </w:p>
        </w:tc>
        <w:tc>
          <w:tcPr>
            <w:tcW w:w="4111"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color w:val="0F6FC6"/>
              </w:rPr>
            </w:pPr>
            <w:r>
              <w:rPr>
                <w:color w:val="0F6FC6"/>
              </w:rPr>
              <w:t>Revisão do documento após análise jurídica</w:t>
            </w:r>
          </w:p>
        </w:tc>
        <w:tc>
          <w:tcPr>
            <w:tcW w:w="25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0F6FC6"/>
              </w:rPr>
            </w:pPr>
            <w:r>
              <w:rPr>
                <w:color w:val="0F6FC6"/>
              </w:rPr>
              <w:t>XXXXXXXXXXX</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c>
          <w:tcPr>
            <w:tcW w:w="4111" w:type="dxa"/>
            <w:vAlign w:val="center"/>
          </w:tcPr>
          <w:p w:rsidR="004E4AF8" w:rsidRDefault="004E4AF8">
            <w:pPr>
              <w:cnfStyle w:val="000000100000" w:firstRow="0" w:lastRow="0" w:firstColumn="0" w:lastColumn="0" w:oddVBand="0" w:evenVBand="0" w:oddHBand="1" w:evenHBand="0" w:firstRowFirstColumn="0" w:firstRowLastColumn="0" w:lastRowFirstColumn="0" w:lastRowLastColumn="0"/>
            </w:pPr>
          </w:p>
        </w:tc>
        <w:tc>
          <w:tcPr>
            <w:tcW w:w="2545"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c>
          <w:tcPr>
            <w:tcW w:w="4111" w:type="dxa"/>
            <w:vAlign w:val="center"/>
          </w:tcPr>
          <w:p w:rsidR="004E4AF8" w:rsidRDefault="004E4AF8">
            <w:pPr>
              <w:cnfStyle w:val="000000000000" w:firstRow="0" w:lastRow="0" w:firstColumn="0" w:lastColumn="0" w:oddVBand="0" w:evenVBand="0" w:oddHBand="0" w:evenHBand="0" w:firstRowFirstColumn="0" w:firstRowLastColumn="0" w:lastRowFirstColumn="0" w:lastRowLastColumn="0"/>
            </w:pPr>
          </w:p>
        </w:tc>
        <w:tc>
          <w:tcPr>
            <w:tcW w:w="2545"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r>
    </w:tbl>
    <w:p w:rsidR="004E4AF8" w:rsidRDefault="004E4AF8">
      <w:pPr>
        <w:spacing w:line="259" w:lineRule="auto"/>
        <w:jc w:val="left"/>
      </w:pPr>
    </w:p>
    <w:p w:rsidR="004E4AF8" w:rsidRDefault="00D62302">
      <w:pPr>
        <w:spacing w:line="259" w:lineRule="auto"/>
        <w:jc w:val="left"/>
      </w:pPr>
      <w:r>
        <w:br w:type="page"/>
      </w:r>
    </w:p>
    <w:p w:rsidR="004E4AF8" w:rsidRDefault="00D62302">
      <w:pPr>
        <w:spacing w:after="0" w:line="259" w:lineRule="auto"/>
        <w:jc w:val="center"/>
        <w:rPr>
          <w:b/>
        </w:rPr>
      </w:pPr>
      <w:r>
        <w:rPr>
          <w:b/>
        </w:rPr>
        <w:lastRenderedPageBreak/>
        <w:t xml:space="preserve">ESTUDO TÉCNICO PRELIMINAR – ETP </w:t>
      </w:r>
    </w:p>
    <w:p w:rsidR="004E4AF8" w:rsidRDefault="004E4AF8">
      <w:pPr>
        <w:spacing w:after="0" w:line="259" w:lineRule="auto"/>
        <w:jc w:val="center"/>
        <w:rPr>
          <w:b/>
        </w:rPr>
      </w:pPr>
    </w:p>
    <w:tbl>
      <w:tblPr>
        <w:tblStyle w:val="afffffffffffffffff5"/>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jc w:val="center"/>
              <w:rPr>
                <w:b/>
              </w:rPr>
            </w:pPr>
            <w:r>
              <w:rPr>
                <w:b/>
              </w:rPr>
              <w:t>INTRODUÇÃO</w:t>
            </w:r>
          </w:p>
        </w:tc>
      </w:tr>
      <w:tr w:rsidR="004E4AF8">
        <w:trPr>
          <w:trHeight w:val="1737"/>
        </w:trPr>
        <w:tc>
          <w:tcPr>
            <w:tcW w:w="9628" w:type="dxa"/>
          </w:tcPr>
          <w:p w:rsidR="004E4AF8" w:rsidRDefault="00D62302">
            <w:pPr>
              <w:spacing w:line="259" w:lineRule="auto"/>
              <w:jc w:val="left"/>
            </w:pPr>
            <w:r>
              <w:t xml:space="preserve">O Estudo Técnico Preliminar tem por objetivo identificar e analisar os cenários para o atendimento da demanda que consta no Documento de Oficialização da Demanda, bem como demonstrar a viabilidade técnica e econômica das soluções identificadas, fornecendo </w:t>
            </w:r>
            <w:r>
              <w:t>as informações necessárias para subsidiar o respectivo processo de contratação.</w:t>
            </w:r>
          </w:p>
          <w:p w:rsidR="004E4AF8" w:rsidRDefault="004E4AF8">
            <w:pPr>
              <w:spacing w:line="259" w:lineRule="auto"/>
              <w:jc w:val="left"/>
            </w:pPr>
          </w:p>
          <w:p w:rsidR="004E4AF8" w:rsidRDefault="00D62302">
            <w:pPr>
              <w:spacing w:line="259" w:lineRule="auto"/>
              <w:rPr>
                <w:b/>
              </w:rPr>
            </w:pPr>
            <w:r>
              <w:rPr>
                <w:b/>
              </w:rPr>
              <w:t xml:space="preserve">Referência: Art. </w:t>
            </w:r>
            <w:r>
              <w:rPr>
                <w:b/>
                <w:color w:val="0F6FC6"/>
              </w:rPr>
              <w:t xml:space="preserve">XX </w:t>
            </w:r>
            <w:r>
              <w:rPr>
                <w:b/>
              </w:rPr>
              <w:t xml:space="preserve">da Resolução CNJ Nº </w:t>
            </w:r>
            <w:r>
              <w:rPr>
                <w:b/>
                <w:color w:val="0F6FC6"/>
              </w:rPr>
              <w:t xml:space="preserve">XXX </w:t>
            </w:r>
            <w:r>
              <w:rPr>
                <w:b/>
              </w:rPr>
              <w:t>/</w:t>
            </w:r>
            <w:r>
              <w:rPr>
                <w:b/>
                <w:color w:val="0F6FC6"/>
              </w:rPr>
              <w:t>20XX</w:t>
            </w:r>
            <w:r>
              <w:rPr>
                <w:b/>
              </w:rPr>
              <w:t>.</w:t>
            </w:r>
          </w:p>
        </w:tc>
      </w:tr>
    </w:tbl>
    <w:p w:rsidR="004E4AF8" w:rsidRDefault="004E4AF8">
      <w:pPr>
        <w:spacing w:after="0" w:line="259" w:lineRule="auto"/>
        <w:jc w:val="center"/>
        <w:rPr>
          <w:b/>
        </w:rPr>
      </w:pPr>
    </w:p>
    <w:tbl>
      <w:tblPr>
        <w:tblStyle w:val="afffffffffffffffff6"/>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555"/>
        <w:gridCol w:w="9073"/>
      </w:tblGrid>
      <w:tr w:rsidR="004E4AF8">
        <w:tc>
          <w:tcPr>
            <w:tcW w:w="9628" w:type="dxa"/>
            <w:gridSpan w:val="2"/>
            <w:tcBorders>
              <w:bottom w:val="single" w:sz="4" w:space="0" w:color="000000"/>
            </w:tcBorders>
            <w:shd w:val="clear" w:color="auto" w:fill="BFBFBF"/>
          </w:tcPr>
          <w:p w:rsidR="004E4AF8" w:rsidRDefault="00D62302">
            <w:pPr>
              <w:spacing w:line="259" w:lineRule="auto"/>
              <w:rPr>
                <w:b/>
              </w:rPr>
            </w:pPr>
            <w:r>
              <w:rPr>
                <w:b/>
              </w:rPr>
              <w:t>1 – DEFINIÇÃO E ESPECIFIAÇÃO DAS NECESSIDADES E REQUISITOS</w:t>
            </w:r>
          </w:p>
        </w:tc>
      </w:tr>
      <w:tr w:rsidR="004E4AF8">
        <w:trPr>
          <w:trHeight w:val="375"/>
        </w:trPr>
        <w:tc>
          <w:tcPr>
            <w:tcW w:w="9628" w:type="dxa"/>
            <w:gridSpan w:val="2"/>
            <w:tcBorders>
              <w:bottom w:val="nil"/>
            </w:tcBorders>
            <w:shd w:val="clear" w:color="auto" w:fill="F2F2F2"/>
            <w:vAlign w:val="center"/>
          </w:tcPr>
          <w:p w:rsidR="004E4AF8" w:rsidRDefault="00D62302">
            <w:pPr>
              <w:spacing w:line="259" w:lineRule="auto"/>
              <w:jc w:val="left"/>
              <w:rPr>
                <w:b/>
              </w:rPr>
            </w:pPr>
            <w:r>
              <w:rPr>
                <w:b/>
              </w:rPr>
              <w:t>Identificação das necessidades de negócio</w:t>
            </w:r>
          </w:p>
        </w:tc>
      </w:tr>
      <w:tr w:rsidR="004E4AF8">
        <w:trPr>
          <w:trHeight w:val="419"/>
        </w:trPr>
        <w:tc>
          <w:tcPr>
            <w:tcW w:w="555" w:type="dxa"/>
            <w:tcBorders>
              <w:top w:val="nil"/>
              <w:bottom w:val="nil"/>
              <w:right w:val="nil"/>
            </w:tcBorders>
            <w:vAlign w:val="center"/>
          </w:tcPr>
          <w:p w:rsidR="004E4AF8" w:rsidRDefault="00D62302">
            <w:pPr>
              <w:spacing w:line="259" w:lineRule="auto"/>
              <w:jc w:val="center"/>
              <w:rPr>
                <w:b/>
                <w:color w:val="0F6FC6"/>
              </w:rPr>
            </w:pPr>
            <w:r>
              <w:rPr>
                <w:b/>
                <w:color w:val="0F6FC6"/>
              </w:rPr>
              <w:t>1</w:t>
            </w:r>
          </w:p>
        </w:tc>
        <w:tc>
          <w:tcPr>
            <w:tcW w:w="9073" w:type="dxa"/>
            <w:tcBorders>
              <w:top w:val="nil"/>
              <w:left w:val="nil"/>
              <w:bottom w:val="nil"/>
            </w:tcBorders>
            <w:vAlign w:val="center"/>
          </w:tcPr>
          <w:p w:rsidR="004E4AF8" w:rsidRDefault="00D62302">
            <w:pPr>
              <w:spacing w:line="259" w:lineRule="auto"/>
              <w:rPr>
                <w:color w:val="2191C9"/>
              </w:rPr>
            </w:pPr>
            <w:r>
              <w:t>&lt;</w:t>
            </w:r>
            <w:r>
              <w:rPr>
                <w:color w:val="0F6FC6"/>
              </w:rPr>
              <w:t>Descrição da necessidade de negócio</w:t>
            </w:r>
            <w:r>
              <w:t>&gt;</w:t>
            </w:r>
          </w:p>
        </w:tc>
      </w:tr>
      <w:tr w:rsidR="004E4AF8">
        <w:trPr>
          <w:trHeight w:val="419"/>
        </w:trPr>
        <w:tc>
          <w:tcPr>
            <w:tcW w:w="555" w:type="dxa"/>
            <w:tcBorders>
              <w:top w:val="nil"/>
              <w:right w:val="nil"/>
            </w:tcBorders>
            <w:vAlign w:val="center"/>
          </w:tcPr>
          <w:p w:rsidR="004E4AF8" w:rsidRDefault="00D62302">
            <w:pPr>
              <w:spacing w:line="259" w:lineRule="auto"/>
              <w:jc w:val="center"/>
              <w:rPr>
                <w:b/>
                <w:color w:val="0F6FC6"/>
              </w:rPr>
            </w:pPr>
            <w:r>
              <w:rPr>
                <w:b/>
                <w:color w:val="0F6FC6"/>
              </w:rPr>
              <w:t>...</w:t>
            </w:r>
          </w:p>
        </w:tc>
        <w:tc>
          <w:tcPr>
            <w:tcW w:w="9073" w:type="dxa"/>
            <w:tcBorders>
              <w:top w:val="nil"/>
              <w:left w:val="nil"/>
            </w:tcBorders>
            <w:vAlign w:val="center"/>
          </w:tcPr>
          <w:p w:rsidR="004E4AF8" w:rsidRDefault="00D62302">
            <w:pPr>
              <w:spacing w:line="259" w:lineRule="auto"/>
              <w:rPr>
                <w:color w:val="2191C9"/>
              </w:rPr>
            </w:pPr>
            <w:r>
              <w:t>&lt;</w:t>
            </w:r>
            <w:r>
              <w:rPr>
                <w:color w:val="0F6FC6"/>
              </w:rPr>
              <w:t>Descrição da necessidade de negócio</w:t>
            </w:r>
            <w:r>
              <w:t>&gt;</w:t>
            </w:r>
          </w:p>
        </w:tc>
      </w:tr>
      <w:tr w:rsidR="004E4AF8">
        <w:trPr>
          <w:trHeight w:val="375"/>
        </w:trPr>
        <w:tc>
          <w:tcPr>
            <w:tcW w:w="9628" w:type="dxa"/>
            <w:gridSpan w:val="2"/>
            <w:tcBorders>
              <w:bottom w:val="nil"/>
            </w:tcBorders>
            <w:shd w:val="clear" w:color="auto" w:fill="F2F2F2"/>
            <w:vAlign w:val="center"/>
          </w:tcPr>
          <w:p w:rsidR="004E4AF8" w:rsidRDefault="00D62302">
            <w:pPr>
              <w:spacing w:line="259" w:lineRule="auto"/>
              <w:jc w:val="left"/>
              <w:rPr>
                <w:b/>
              </w:rPr>
            </w:pPr>
            <w:r>
              <w:rPr>
                <w:b/>
              </w:rPr>
              <w:t>Identificação das necessidades de tecnológicas</w:t>
            </w:r>
          </w:p>
        </w:tc>
      </w:tr>
      <w:tr w:rsidR="004E4AF8">
        <w:trPr>
          <w:trHeight w:val="419"/>
        </w:trPr>
        <w:tc>
          <w:tcPr>
            <w:tcW w:w="555" w:type="dxa"/>
            <w:tcBorders>
              <w:top w:val="nil"/>
              <w:bottom w:val="nil"/>
              <w:right w:val="nil"/>
            </w:tcBorders>
            <w:vAlign w:val="center"/>
          </w:tcPr>
          <w:p w:rsidR="004E4AF8" w:rsidRDefault="00D62302">
            <w:pPr>
              <w:spacing w:line="259" w:lineRule="auto"/>
              <w:jc w:val="center"/>
              <w:rPr>
                <w:b/>
                <w:color w:val="0F6FC6"/>
              </w:rPr>
            </w:pPr>
            <w:r>
              <w:rPr>
                <w:b/>
                <w:color w:val="0F6FC6"/>
              </w:rPr>
              <w:t>1</w:t>
            </w:r>
          </w:p>
        </w:tc>
        <w:tc>
          <w:tcPr>
            <w:tcW w:w="9073" w:type="dxa"/>
            <w:tcBorders>
              <w:top w:val="nil"/>
              <w:left w:val="nil"/>
              <w:bottom w:val="nil"/>
            </w:tcBorders>
            <w:vAlign w:val="center"/>
          </w:tcPr>
          <w:p w:rsidR="004E4AF8" w:rsidRDefault="00D62302">
            <w:pPr>
              <w:spacing w:line="259" w:lineRule="auto"/>
              <w:rPr>
                <w:color w:val="2191C9"/>
              </w:rPr>
            </w:pPr>
            <w:r>
              <w:t>&lt;</w:t>
            </w:r>
            <w:r>
              <w:rPr>
                <w:color w:val="0F6FC6"/>
              </w:rPr>
              <w:t>Descrição da necessidade de negócio</w:t>
            </w:r>
            <w:r>
              <w:t>&gt;</w:t>
            </w:r>
          </w:p>
        </w:tc>
      </w:tr>
      <w:tr w:rsidR="004E4AF8">
        <w:trPr>
          <w:trHeight w:val="419"/>
        </w:trPr>
        <w:tc>
          <w:tcPr>
            <w:tcW w:w="555" w:type="dxa"/>
            <w:tcBorders>
              <w:top w:val="nil"/>
              <w:right w:val="nil"/>
            </w:tcBorders>
            <w:vAlign w:val="center"/>
          </w:tcPr>
          <w:p w:rsidR="004E4AF8" w:rsidRDefault="00D62302">
            <w:pPr>
              <w:spacing w:line="259" w:lineRule="auto"/>
              <w:jc w:val="center"/>
              <w:rPr>
                <w:b/>
                <w:color w:val="0F6FC6"/>
              </w:rPr>
            </w:pPr>
            <w:r>
              <w:rPr>
                <w:b/>
                <w:color w:val="0F6FC6"/>
              </w:rPr>
              <w:t>...</w:t>
            </w:r>
          </w:p>
        </w:tc>
        <w:tc>
          <w:tcPr>
            <w:tcW w:w="9073" w:type="dxa"/>
            <w:tcBorders>
              <w:top w:val="nil"/>
              <w:left w:val="nil"/>
            </w:tcBorders>
            <w:vAlign w:val="center"/>
          </w:tcPr>
          <w:p w:rsidR="004E4AF8" w:rsidRDefault="00D62302">
            <w:pPr>
              <w:spacing w:line="259" w:lineRule="auto"/>
              <w:rPr>
                <w:color w:val="2191C9"/>
              </w:rPr>
            </w:pPr>
            <w:r>
              <w:t>&lt;</w:t>
            </w:r>
            <w:r>
              <w:rPr>
                <w:color w:val="0F6FC6"/>
              </w:rPr>
              <w:t>Descrição da necessidade de negócio</w:t>
            </w:r>
            <w:r>
              <w:t>&gt;</w:t>
            </w:r>
          </w:p>
        </w:tc>
      </w:tr>
      <w:tr w:rsidR="004E4AF8">
        <w:trPr>
          <w:trHeight w:val="375"/>
        </w:trPr>
        <w:tc>
          <w:tcPr>
            <w:tcW w:w="9628" w:type="dxa"/>
            <w:gridSpan w:val="2"/>
            <w:tcBorders>
              <w:bottom w:val="nil"/>
            </w:tcBorders>
            <w:shd w:val="clear" w:color="auto" w:fill="F2F2F2"/>
            <w:vAlign w:val="center"/>
          </w:tcPr>
          <w:p w:rsidR="004E4AF8" w:rsidRDefault="00D62302">
            <w:pPr>
              <w:spacing w:line="259" w:lineRule="auto"/>
              <w:jc w:val="left"/>
              <w:rPr>
                <w:b/>
              </w:rPr>
            </w:pPr>
            <w:r>
              <w:rPr>
                <w:b/>
              </w:rPr>
              <w:t>Demais requisitos necessários e suficientes à escolha da solução de TIC</w:t>
            </w:r>
          </w:p>
        </w:tc>
      </w:tr>
      <w:tr w:rsidR="004E4AF8">
        <w:trPr>
          <w:trHeight w:val="419"/>
        </w:trPr>
        <w:tc>
          <w:tcPr>
            <w:tcW w:w="555" w:type="dxa"/>
            <w:tcBorders>
              <w:top w:val="nil"/>
              <w:bottom w:val="nil"/>
              <w:right w:val="nil"/>
            </w:tcBorders>
            <w:vAlign w:val="center"/>
          </w:tcPr>
          <w:p w:rsidR="004E4AF8" w:rsidRDefault="00D62302">
            <w:pPr>
              <w:spacing w:line="259" w:lineRule="auto"/>
              <w:jc w:val="center"/>
              <w:rPr>
                <w:b/>
                <w:color w:val="0F6FC6"/>
              </w:rPr>
            </w:pPr>
            <w:r>
              <w:rPr>
                <w:b/>
                <w:color w:val="0F6FC6"/>
              </w:rPr>
              <w:t>1</w:t>
            </w:r>
          </w:p>
        </w:tc>
        <w:tc>
          <w:tcPr>
            <w:tcW w:w="9073" w:type="dxa"/>
            <w:tcBorders>
              <w:top w:val="nil"/>
              <w:left w:val="nil"/>
              <w:bottom w:val="nil"/>
            </w:tcBorders>
            <w:vAlign w:val="center"/>
          </w:tcPr>
          <w:p w:rsidR="004E4AF8" w:rsidRDefault="00D62302">
            <w:pPr>
              <w:spacing w:line="259" w:lineRule="auto"/>
              <w:rPr>
                <w:color w:val="2191C9"/>
              </w:rPr>
            </w:pPr>
            <w:r>
              <w:t>&lt;</w:t>
            </w:r>
            <w:r>
              <w:rPr>
                <w:color w:val="0F6FC6"/>
              </w:rPr>
              <w:t>Descrição da necessidade de negócio</w:t>
            </w:r>
            <w:r>
              <w:t>&gt;</w:t>
            </w:r>
          </w:p>
        </w:tc>
      </w:tr>
      <w:tr w:rsidR="004E4AF8">
        <w:trPr>
          <w:trHeight w:val="419"/>
        </w:trPr>
        <w:tc>
          <w:tcPr>
            <w:tcW w:w="555" w:type="dxa"/>
            <w:tcBorders>
              <w:top w:val="nil"/>
              <w:right w:val="nil"/>
            </w:tcBorders>
            <w:vAlign w:val="center"/>
          </w:tcPr>
          <w:p w:rsidR="004E4AF8" w:rsidRDefault="00D62302">
            <w:pPr>
              <w:spacing w:line="259" w:lineRule="auto"/>
              <w:jc w:val="center"/>
              <w:rPr>
                <w:b/>
                <w:color w:val="0F6FC6"/>
              </w:rPr>
            </w:pPr>
            <w:r>
              <w:rPr>
                <w:b/>
                <w:color w:val="0F6FC6"/>
              </w:rPr>
              <w:t>...</w:t>
            </w:r>
          </w:p>
        </w:tc>
        <w:tc>
          <w:tcPr>
            <w:tcW w:w="9073" w:type="dxa"/>
            <w:tcBorders>
              <w:top w:val="nil"/>
              <w:left w:val="nil"/>
            </w:tcBorders>
            <w:vAlign w:val="center"/>
          </w:tcPr>
          <w:p w:rsidR="004E4AF8" w:rsidRDefault="00D62302">
            <w:pPr>
              <w:spacing w:line="259" w:lineRule="auto"/>
              <w:rPr>
                <w:color w:val="2191C9"/>
              </w:rPr>
            </w:pPr>
            <w:r>
              <w:t>&lt;</w:t>
            </w:r>
            <w:r>
              <w:rPr>
                <w:color w:val="0F6FC6"/>
              </w:rPr>
              <w:t>Descrição da necessidade de negócio</w:t>
            </w:r>
            <w:r>
              <w:t>&gt;</w:t>
            </w:r>
          </w:p>
        </w:tc>
      </w:tr>
    </w:tbl>
    <w:p w:rsidR="004E4AF8" w:rsidRDefault="004E4AF8">
      <w:pPr>
        <w:spacing w:line="259" w:lineRule="auto"/>
      </w:pPr>
    </w:p>
    <w:p w:rsidR="004E4AF8" w:rsidRDefault="00D62302">
      <w:pPr>
        <w:spacing w:line="259" w:lineRule="auto"/>
      </w:pPr>
      <w:r>
        <w:t>Observações:</w:t>
      </w:r>
    </w:p>
    <w:p w:rsidR="004E4AF8" w:rsidRDefault="00D62302">
      <w:pPr>
        <w:numPr>
          <w:ilvl w:val="0"/>
          <w:numId w:val="2"/>
        </w:numPr>
        <w:pBdr>
          <w:top w:val="nil"/>
          <w:left w:val="nil"/>
          <w:bottom w:val="nil"/>
          <w:right w:val="nil"/>
          <w:between w:val="nil"/>
        </w:pBdr>
        <w:spacing w:after="0" w:line="259" w:lineRule="auto"/>
      </w:pPr>
      <w:r>
        <w:rPr>
          <w:color w:val="000000"/>
        </w:rPr>
        <w:t>Recomenda-se descrição precisa, suficiente e clara da solução-. Por exemplo:</w:t>
      </w:r>
    </w:p>
    <w:p w:rsidR="004E4AF8" w:rsidRDefault="00D62302">
      <w:pPr>
        <w:numPr>
          <w:ilvl w:val="1"/>
          <w:numId w:val="2"/>
        </w:numPr>
        <w:pBdr>
          <w:top w:val="nil"/>
          <w:left w:val="nil"/>
          <w:bottom w:val="nil"/>
          <w:right w:val="nil"/>
          <w:between w:val="nil"/>
        </w:pBdr>
        <w:spacing w:after="0" w:line="259" w:lineRule="auto"/>
      </w:pPr>
      <w:r>
        <w:rPr>
          <w:color w:val="000000"/>
        </w:rPr>
        <w:t>Utilização da métrica UST (quando aplicável);</w:t>
      </w:r>
    </w:p>
    <w:p w:rsidR="004E4AF8" w:rsidRDefault="00D62302">
      <w:pPr>
        <w:numPr>
          <w:ilvl w:val="1"/>
          <w:numId w:val="2"/>
        </w:numPr>
        <w:pBdr>
          <w:top w:val="nil"/>
          <w:left w:val="nil"/>
          <w:bottom w:val="nil"/>
          <w:right w:val="nil"/>
          <w:between w:val="nil"/>
        </w:pBdr>
        <w:spacing w:after="0" w:line="259" w:lineRule="auto"/>
      </w:pPr>
      <w:r>
        <w:rPr>
          <w:color w:val="000000"/>
        </w:rPr>
        <w:t>Catálogo de serviços (quando aplicável);</w:t>
      </w:r>
    </w:p>
    <w:p w:rsidR="004E4AF8" w:rsidRDefault="00D62302">
      <w:pPr>
        <w:numPr>
          <w:ilvl w:val="1"/>
          <w:numId w:val="2"/>
        </w:numPr>
        <w:pBdr>
          <w:top w:val="nil"/>
          <w:left w:val="nil"/>
          <w:bottom w:val="nil"/>
          <w:right w:val="nil"/>
          <w:between w:val="nil"/>
        </w:pBdr>
        <w:spacing w:after="0" w:line="259" w:lineRule="auto"/>
      </w:pPr>
      <w:r>
        <w:rPr>
          <w:color w:val="000000"/>
        </w:rPr>
        <w:t>Níveis mínimos de serviço (quando aplicável);</w:t>
      </w:r>
    </w:p>
    <w:p w:rsidR="004E4AF8" w:rsidRDefault="00D62302">
      <w:pPr>
        <w:numPr>
          <w:ilvl w:val="2"/>
          <w:numId w:val="2"/>
        </w:numPr>
        <w:pBdr>
          <w:top w:val="nil"/>
          <w:left w:val="nil"/>
          <w:bottom w:val="nil"/>
          <w:right w:val="nil"/>
          <w:between w:val="nil"/>
        </w:pBdr>
        <w:spacing w:after="0" w:line="259" w:lineRule="auto"/>
      </w:pPr>
      <w:r>
        <w:rPr>
          <w:color w:val="000000"/>
        </w:rPr>
        <w:t>Nas contratações de software estabelecer de padrões de Acordos de Níveis de Serviço, para servirem de referência à contrata</w:t>
      </w:r>
      <w:r>
        <w:rPr>
          <w:color w:val="000000"/>
        </w:rPr>
        <w:t>ção de serviços de suporte nos casos em que estes sejam providos diretamente pelos fabricantes e para as soluções de TI mais disseminadas. (</w:t>
      </w:r>
      <w:r>
        <w:rPr>
          <w:i/>
          <w:color w:val="000000"/>
        </w:rPr>
        <w:t>Acórdão 2.569/2018-TCU-Plenário</w:t>
      </w:r>
      <w:r>
        <w:rPr>
          <w:color w:val="000000"/>
        </w:rPr>
        <w:t>);</w:t>
      </w:r>
    </w:p>
    <w:p w:rsidR="004E4AF8" w:rsidRDefault="00D62302">
      <w:pPr>
        <w:numPr>
          <w:ilvl w:val="0"/>
          <w:numId w:val="2"/>
        </w:numPr>
        <w:pBdr>
          <w:top w:val="nil"/>
          <w:left w:val="nil"/>
          <w:bottom w:val="nil"/>
          <w:right w:val="nil"/>
          <w:between w:val="nil"/>
        </w:pBdr>
        <w:spacing w:after="0" w:line="259" w:lineRule="auto"/>
      </w:pPr>
      <w:r>
        <w:rPr>
          <w:color w:val="000000"/>
        </w:rPr>
        <w:t>Recomenda-se atenção com a restrição a competividade;</w:t>
      </w:r>
    </w:p>
    <w:p w:rsidR="004E4AF8" w:rsidRDefault="00D62302">
      <w:pPr>
        <w:numPr>
          <w:ilvl w:val="1"/>
          <w:numId w:val="2"/>
        </w:numPr>
        <w:pBdr>
          <w:top w:val="nil"/>
          <w:left w:val="nil"/>
          <w:bottom w:val="nil"/>
          <w:right w:val="nil"/>
          <w:between w:val="nil"/>
        </w:pBdr>
        <w:spacing w:after="0" w:line="259" w:lineRule="auto"/>
      </w:pPr>
      <w:r>
        <w:rPr>
          <w:color w:val="000000"/>
        </w:rPr>
        <w:t>Para evitar direcionamento p</w:t>
      </w:r>
      <w:r>
        <w:rPr>
          <w:color w:val="000000"/>
        </w:rPr>
        <w:t>or meio de caracterização excessiva do objeto, deve-se realizar estudos que justificassem a adoção obrigatória das funcionalidades exigidas e suas correlações com as necessidades do órgão, que refletirão nos requisitos exigidos no TR;</w:t>
      </w:r>
    </w:p>
    <w:p w:rsidR="004E4AF8" w:rsidRDefault="00D62302">
      <w:pPr>
        <w:numPr>
          <w:ilvl w:val="1"/>
          <w:numId w:val="2"/>
        </w:numPr>
        <w:pBdr>
          <w:top w:val="nil"/>
          <w:left w:val="nil"/>
          <w:bottom w:val="nil"/>
          <w:right w:val="nil"/>
          <w:between w:val="nil"/>
        </w:pBdr>
        <w:spacing w:after="0" w:line="259" w:lineRule="auto"/>
      </w:pPr>
      <w:r>
        <w:rPr>
          <w:color w:val="000000"/>
        </w:rPr>
        <w:t>Ao eleger os requisit</w:t>
      </w:r>
      <w:r>
        <w:rPr>
          <w:color w:val="000000"/>
        </w:rPr>
        <w:t>os da solução, deve-se avaliar se não há direcionamento do objeto por caracterização excessiva, bem como pela padronização indevida conforme prevê o disposto no art. 3º da Lei nº 10.520/2002;</w:t>
      </w:r>
    </w:p>
    <w:p w:rsidR="004E4AF8" w:rsidRDefault="00D62302">
      <w:pPr>
        <w:numPr>
          <w:ilvl w:val="1"/>
          <w:numId w:val="2"/>
        </w:numPr>
        <w:pBdr>
          <w:top w:val="nil"/>
          <w:left w:val="nil"/>
          <w:bottom w:val="nil"/>
          <w:right w:val="nil"/>
          <w:between w:val="nil"/>
        </w:pBdr>
        <w:spacing w:after="0" w:line="259" w:lineRule="auto"/>
      </w:pPr>
      <w:r>
        <w:rPr>
          <w:color w:val="000000"/>
        </w:rPr>
        <w:lastRenderedPageBreak/>
        <w:t xml:space="preserve"> Deve-se abster de incluir, nos instrumentos convocatórios, excessivo detalhamento do objeto, de modo a evitar o direcionamento da licitação ou a restrição de seu caráter competitivo, devendo justificar e fundamentar tecnicamente quaisquer especificações o</w:t>
      </w:r>
      <w:r>
        <w:rPr>
          <w:color w:val="000000"/>
        </w:rPr>
        <w:t>u condições que restrinjam o universo de possíveis fornecedores dos bens ou prestadores de serviços objeto do certame (</w:t>
      </w:r>
      <w:r>
        <w:rPr>
          <w:i/>
          <w:color w:val="000000"/>
        </w:rPr>
        <w:t>Acórdão 2.407/2006-TCU-Plenário, da relatoria do Ministro Benjamin Zymler</w:t>
      </w:r>
      <w:r>
        <w:rPr>
          <w:color w:val="000000"/>
        </w:rPr>
        <w:t>);</w:t>
      </w:r>
    </w:p>
    <w:p w:rsidR="004E4AF8" w:rsidRDefault="00D62302">
      <w:pPr>
        <w:numPr>
          <w:ilvl w:val="1"/>
          <w:numId w:val="2"/>
        </w:numPr>
        <w:pBdr>
          <w:top w:val="nil"/>
          <w:left w:val="nil"/>
          <w:bottom w:val="nil"/>
          <w:right w:val="nil"/>
          <w:between w:val="nil"/>
        </w:pBdr>
        <w:spacing w:after="0" w:line="259" w:lineRule="auto"/>
      </w:pPr>
      <w:r>
        <w:rPr>
          <w:color w:val="000000"/>
        </w:rPr>
        <w:t>Em licitações para aquisição de equipamentos, havendo no merc</w:t>
      </w:r>
      <w:r>
        <w:rPr>
          <w:color w:val="000000"/>
        </w:rPr>
        <w:t>ado diversos modelos que atendam completamente as necessidades da Administração, deve o órgão licitante identificar um conjunto representativo desses modelos antes de elaborar as especificações técnicas e a cotação de preços, de modo a evitar o direcioname</w:t>
      </w:r>
      <w:r>
        <w:rPr>
          <w:color w:val="000000"/>
        </w:rPr>
        <w:t>nto do certame para marca ou modelo específicos e a caracterizar a realização de ampla pesquisa de mercado (Jurisprudência Selecionada do Acórdão 2.383/2014-TCU-Plenário, da relatoria do Ministro José Múcio Monteiro);</w:t>
      </w:r>
    </w:p>
    <w:p w:rsidR="004E4AF8" w:rsidRDefault="00D62302">
      <w:pPr>
        <w:numPr>
          <w:ilvl w:val="1"/>
          <w:numId w:val="2"/>
        </w:numPr>
        <w:pBdr>
          <w:top w:val="nil"/>
          <w:left w:val="nil"/>
          <w:bottom w:val="nil"/>
          <w:right w:val="nil"/>
          <w:between w:val="nil"/>
        </w:pBdr>
        <w:spacing w:after="0" w:line="259" w:lineRule="auto"/>
      </w:pPr>
      <w:r>
        <w:rPr>
          <w:color w:val="000000"/>
        </w:rPr>
        <w:t xml:space="preserve">Evitar a indicação indevida de marca. </w:t>
      </w:r>
      <w:r>
        <w:rPr>
          <w:color w:val="000000"/>
        </w:rPr>
        <w:t>Por exemplo, a eventual identificação de hardware especialista sendo destinado para suportar unicamente o Sistema Gerenciador de Banco de Dados deverá estar fundamentada em justificativa clara pela sua exclusividade com a indicação de marca baseado em estu</w:t>
      </w:r>
      <w:r>
        <w:rPr>
          <w:color w:val="000000"/>
        </w:rPr>
        <w:t>dos técnicos e econômicos demonstrando que apenas determinada marca ou produto atende às necessidades da contratação, ou demonstrando a impossibilidade da coexistência heterogênea entre fabricantes diferentes, da necessidade de se manter compatibilidade co</w:t>
      </w:r>
      <w:r>
        <w:rPr>
          <w:color w:val="000000"/>
        </w:rPr>
        <w:t>m a marca dos equipamentos que seriam substituídos (</w:t>
      </w:r>
      <w:r>
        <w:rPr>
          <w:i/>
          <w:color w:val="000000"/>
        </w:rPr>
        <w:t>Acórdão 488/2019-TCU-Plenário, da relatoria da Ministra Ana Arraes</w:t>
      </w:r>
      <w:r>
        <w:rPr>
          <w:color w:val="000000"/>
        </w:rPr>
        <w:t>);</w:t>
      </w:r>
    </w:p>
    <w:p w:rsidR="004E4AF8" w:rsidRDefault="00D62302">
      <w:pPr>
        <w:numPr>
          <w:ilvl w:val="1"/>
          <w:numId w:val="2"/>
        </w:numPr>
        <w:pBdr>
          <w:top w:val="nil"/>
          <w:left w:val="nil"/>
          <w:bottom w:val="nil"/>
          <w:right w:val="nil"/>
          <w:between w:val="nil"/>
        </w:pBdr>
        <w:spacing w:after="0" w:line="259" w:lineRule="auto"/>
      </w:pPr>
      <w:r>
        <w:rPr>
          <w:color w:val="000000"/>
        </w:rPr>
        <w:t xml:space="preserve">Deve-se ponderar se os benefícios de indicar marca superam os custos com a restrição que está sendo imposta, realizar análise quanto à </w:t>
      </w:r>
      <w:r>
        <w:rPr>
          <w:color w:val="000000"/>
        </w:rPr>
        <w:t>impossibilidade de adoção de soluções alternativas a essa marca (</w:t>
      </w:r>
      <w:r>
        <w:rPr>
          <w:i/>
          <w:color w:val="000000"/>
        </w:rPr>
        <w:t>Acórdão 488/2019-TCU-Plenário, da relatoria da Ministra Ana Arraes</w:t>
      </w:r>
      <w:r>
        <w:rPr>
          <w:color w:val="000000"/>
        </w:rPr>
        <w:t>);</w:t>
      </w:r>
    </w:p>
    <w:p w:rsidR="004E4AF8" w:rsidRDefault="00D62302">
      <w:pPr>
        <w:numPr>
          <w:ilvl w:val="1"/>
          <w:numId w:val="2"/>
        </w:numPr>
        <w:pBdr>
          <w:top w:val="nil"/>
          <w:left w:val="nil"/>
          <w:bottom w:val="nil"/>
          <w:right w:val="nil"/>
          <w:between w:val="nil"/>
        </w:pBdr>
        <w:spacing w:after="0" w:line="259" w:lineRule="auto"/>
      </w:pPr>
      <w:r>
        <w:rPr>
          <w:color w:val="000000"/>
        </w:rPr>
        <w:t>A indicação de marca não pode ser uma escolha subjetiva do gestor ou a mera preferência por determinada marca ou produto d</w:t>
      </w:r>
      <w:r>
        <w:rPr>
          <w:color w:val="000000"/>
        </w:rPr>
        <w:t>o mercado, em regra, é vedada pelo art. 15, § 7º, inciso I, e 25, inciso I, da Lei de Licitações, excepcionalmente admitida nos casos em que for tecnicamente justificável;</w:t>
      </w:r>
    </w:p>
    <w:p w:rsidR="004E4AF8" w:rsidRDefault="00D62302">
      <w:pPr>
        <w:numPr>
          <w:ilvl w:val="1"/>
          <w:numId w:val="2"/>
        </w:numPr>
        <w:pBdr>
          <w:top w:val="nil"/>
          <w:left w:val="nil"/>
          <w:bottom w:val="nil"/>
          <w:right w:val="nil"/>
          <w:between w:val="nil"/>
        </w:pBdr>
        <w:spacing w:after="0" w:line="259" w:lineRule="auto"/>
      </w:pPr>
      <w:r>
        <w:rPr>
          <w:color w:val="000000"/>
        </w:rPr>
        <w:t xml:space="preserve">O princípio da padronização não conflita com a vedação de preferência de marca, que </w:t>
      </w:r>
      <w:r>
        <w:rPr>
          <w:color w:val="000000"/>
        </w:rPr>
        <w:t>não constitui obstáculo à sua adoção, desde que a decisão administrativa, que identifica o produto pela marca, seja circunstanciadamente motivada e demonstre ser essa a opção, em termos técnicos e econômicos, mais vantajosa para a administração (Acórdão 48</w:t>
      </w:r>
      <w:r>
        <w:rPr>
          <w:color w:val="000000"/>
        </w:rPr>
        <w:t>8/2019-TCU-Plenário, da relatoria da Ministra Ana Arraes);</w:t>
      </w:r>
    </w:p>
    <w:p w:rsidR="004E4AF8" w:rsidRDefault="00D62302">
      <w:pPr>
        <w:numPr>
          <w:ilvl w:val="1"/>
          <w:numId w:val="2"/>
        </w:numPr>
        <w:pBdr>
          <w:top w:val="nil"/>
          <w:left w:val="nil"/>
          <w:bottom w:val="nil"/>
          <w:right w:val="nil"/>
          <w:between w:val="nil"/>
        </w:pBdr>
        <w:spacing w:after="0" w:line="259" w:lineRule="auto"/>
      </w:pPr>
      <w:r>
        <w:rPr>
          <w:color w:val="000000"/>
        </w:rPr>
        <w:t>O gestor deve apresentar argumentos técnicos consistentes que demonstrem que a restrição que se está sendo feita é estritamente necessária e acarreta uma série de benefícios que atendam ao interess</w:t>
      </w:r>
      <w:r>
        <w:rPr>
          <w:color w:val="000000"/>
        </w:rPr>
        <w:t>e público (Acórdão 488/2019-TCU-Plenário, da relatoria da Ministra Ana Arraes);</w:t>
      </w:r>
    </w:p>
    <w:p w:rsidR="004E4AF8" w:rsidRDefault="00D62302">
      <w:pPr>
        <w:numPr>
          <w:ilvl w:val="1"/>
          <w:numId w:val="2"/>
        </w:numPr>
        <w:pBdr>
          <w:top w:val="nil"/>
          <w:left w:val="nil"/>
          <w:bottom w:val="nil"/>
          <w:right w:val="nil"/>
          <w:between w:val="nil"/>
        </w:pBdr>
        <w:spacing w:after="0" w:line="259" w:lineRule="auto"/>
      </w:pPr>
      <w:r>
        <w:rPr>
          <w:color w:val="000000"/>
        </w:rPr>
        <w:t xml:space="preserve">Em caso de eventual adesão a ARP, não moldar aos requisitos da solução específica, deve-se partir de suas necessidades ou da análise das funcionalidades </w:t>
      </w:r>
      <w:r>
        <w:rPr>
          <w:color w:val="000000"/>
        </w:rPr>
        <w:lastRenderedPageBreak/>
        <w:t>das soluções de mercado</w:t>
      </w:r>
      <w:r>
        <w:rPr>
          <w:color w:val="000000"/>
        </w:rPr>
        <w:t xml:space="preserve"> que alcançariam os resultados esperados da contratação;</w:t>
      </w:r>
    </w:p>
    <w:p w:rsidR="004E4AF8" w:rsidRDefault="00D62302">
      <w:pPr>
        <w:numPr>
          <w:ilvl w:val="1"/>
          <w:numId w:val="2"/>
        </w:numPr>
        <w:pBdr>
          <w:top w:val="nil"/>
          <w:left w:val="nil"/>
          <w:bottom w:val="nil"/>
          <w:right w:val="nil"/>
          <w:between w:val="nil"/>
        </w:pBdr>
        <w:spacing w:after="0" w:line="259" w:lineRule="auto"/>
      </w:pPr>
      <w:r>
        <w:rPr>
          <w:color w:val="000000"/>
        </w:rPr>
        <w:t>Em contratações de software verificar, nos estudos técnicos preliminares, em caso de indicação pelo fabricante de necessidade de produtos específicos para viabilizar a utilização da solução a ser con</w:t>
      </w:r>
      <w:r>
        <w:rPr>
          <w:color w:val="000000"/>
        </w:rPr>
        <w:t>tratada, a compatibilidade de produtos alternativos que atendam as regras de comercialização do fabricante e viabilizem a utilização da solução, de modo a não aceitarem que se condicione o fornecimento de produto ou de serviço ao fornecimento de solução es</w:t>
      </w:r>
      <w:r>
        <w:rPr>
          <w:color w:val="000000"/>
        </w:rPr>
        <w:t>pecífica, conforme disposto na Lei 8.078/1990, art. 39, inciso I (parágrafos 150 a 152) (</w:t>
      </w:r>
      <w:r>
        <w:rPr>
          <w:i/>
          <w:color w:val="000000"/>
        </w:rPr>
        <w:t>Acórdão 2.569/2018-TCU-Plenário</w:t>
      </w:r>
      <w:r>
        <w:rPr>
          <w:color w:val="000000"/>
        </w:rPr>
        <w:t>);</w:t>
      </w:r>
    </w:p>
    <w:p w:rsidR="004E4AF8" w:rsidRDefault="00D62302">
      <w:pPr>
        <w:numPr>
          <w:ilvl w:val="0"/>
          <w:numId w:val="2"/>
        </w:numPr>
        <w:pBdr>
          <w:top w:val="nil"/>
          <w:left w:val="nil"/>
          <w:bottom w:val="nil"/>
          <w:right w:val="nil"/>
          <w:between w:val="nil"/>
        </w:pBdr>
        <w:spacing w:line="259" w:lineRule="auto"/>
      </w:pPr>
      <w:r>
        <w:rPr>
          <w:color w:val="000000"/>
        </w:rPr>
        <w:t xml:space="preserve">Recomenda-se nas contratações de software a definição de soluções padronizadas baseadas em softwares e serviços agregados, de modo a </w:t>
      </w:r>
      <w:r>
        <w:rPr>
          <w:color w:val="000000"/>
        </w:rPr>
        <w:t>desonerar as organizações públicas de levantar, entender e utilizar os modelos de comercialização dos grandes fabricantes de software. (</w:t>
      </w:r>
      <w:r>
        <w:rPr>
          <w:i/>
          <w:color w:val="000000"/>
        </w:rPr>
        <w:t>Acórdão 2.569/2018-TCU-Plenário</w:t>
      </w:r>
      <w:r>
        <w:rPr>
          <w:color w:val="000000"/>
        </w:rPr>
        <w:t>).</w:t>
      </w:r>
    </w:p>
    <w:tbl>
      <w:tblPr>
        <w:tblStyle w:val="afffffffffffffffff7"/>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rPr>
                <w:b/>
              </w:rPr>
            </w:pPr>
            <w:r>
              <w:rPr>
                <w:b/>
              </w:rPr>
              <w:t>2 – ESTIMATIVA DA DEMANDA – QUANTIDADE DE BENS E SERVIÇOS</w:t>
            </w:r>
          </w:p>
        </w:tc>
      </w:tr>
      <w:tr w:rsidR="004E4AF8">
        <w:trPr>
          <w:trHeight w:val="375"/>
        </w:trPr>
        <w:tc>
          <w:tcPr>
            <w:tcW w:w="9628" w:type="dxa"/>
            <w:shd w:val="clear" w:color="auto" w:fill="FFFFFF"/>
          </w:tcPr>
          <w:p w:rsidR="004E4AF8" w:rsidRDefault="004E4AF8">
            <w:pPr>
              <w:spacing w:line="259" w:lineRule="auto"/>
            </w:pPr>
          </w:p>
          <w:p w:rsidR="004E4AF8" w:rsidRDefault="00D62302">
            <w:pPr>
              <w:spacing w:line="259" w:lineRule="auto"/>
            </w:pPr>
            <w:r>
              <w:t>&lt;</w:t>
            </w:r>
            <w:r>
              <w:rPr>
                <w:color w:val="0F6FC6"/>
              </w:rPr>
              <w:t>Registro do quantitativo de bens e serviços necessários para a composição da solução a ser contratada, de forma detalhada, motivada e justificada, inclusive quanto à forma de cálculo</w:t>
            </w:r>
            <w:r>
              <w:t>&gt;.</w:t>
            </w:r>
          </w:p>
          <w:p w:rsidR="004E4AF8" w:rsidRDefault="00D62302">
            <w:pPr>
              <w:spacing w:line="259" w:lineRule="auto"/>
            </w:pPr>
            <w:r>
              <w:br/>
              <w:t>&lt;</w:t>
            </w:r>
            <w:r>
              <w:rPr>
                <w:color w:val="0F6FC6"/>
              </w:rPr>
              <w:t>Métodos, metodologias e técnicas de estimativas poderão ser utilizados nesta atividade, que podem incluir análise de histórico de demandas, estatística, regressões, projeções etc.</w:t>
            </w:r>
            <w:r>
              <w:t>&gt;.</w:t>
            </w:r>
          </w:p>
          <w:p w:rsidR="004E4AF8" w:rsidRDefault="004E4AF8">
            <w:pPr>
              <w:spacing w:line="259" w:lineRule="auto"/>
              <w:rPr>
                <w:b/>
              </w:rPr>
            </w:pPr>
          </w:p>
        </w:tc>
      </w:tr>
    </w:tbl>
    <w:p w:rsidR="004E4AF8" w:rsidRDefault="004E4AF8">
      <w:pPr>
        <w:spacing w:line="259" w:lineRule="auto"/>
        <w:jc w:val="left"/>
      </w:pPr>
    </w:p>
    <w:p w:rsidR="004E4AF8" w:rsidRDefault="00D62302">
      <w:pPr>
        <w:spacing w:line="259" w:lineRule="auto"/>
      </w:pPr>
      <w:r>
        <w:t>Observações:</w:t>
      </w:r>
    </w:p>
    <w:p w:rsidR="004E4AF8" w:rsidRDefault="00D62302">
      <w:pPr>
        <w:numPr>
          <w:ilvl w:val="0"/>
          <w:numId w:val="3"/>
        </w:numPr>
        <w:pBdr>
          <w:top w:val="nil"/>
          <w:left w:val="nil"/>
          <w:bottom w:val="nil"/>
          <w:right w:val="nil"/>
          <w:between w:val="nil"/>
        </w:pBdr>
        <w:spacing w:after="0" w:line="259" w:lineRule="auto"/>
      </w:pPr>
      <w:r>
        <w:rPr>
          <w:color w:val="000000"/>
        </w:rPr>
        <w:t>Recomenda-se atenção com o superdimensionamento dos quantitativos:</w:t>
      </w:r>
    </w:p>
    <w:p w:rsidR="004E4AF8" w:rsidRDefault="00D62302">
      <w:pPr>
        <w:numPr>
          <w:ilvl w:val="1"/>
          <w:numId w:val="3"/>
        </w:numPr>
        <w:pBdr>
          <w:top w:val="nil"/>
          <w:left w:val="nil"/>
          <w:bottom w:val="nil"/>
          <w:right w:val="nil"/>
          <w:between w:val="nil"/>
        </w:pBdr>
        <w:spacing w:after="0" w:line="259" w:lineRule="auto"/>
      </w:pPr>
      <w:r>
        <w:rPr>
          <w:color w:val="000000"/>
        </w:rPr>
        <w:t>Demonstrar a relação entre a demanda prevista e a quantidade de serviço a ser contratada acompanhadas das memórias de cálculo;</w:t>
      </w:r>
    </w:p>
    <w:p w:rsidR="004E4AF8" w:rsidRDefault="00D62302">
      <w:pPr>
        <w:numPr>
          <w:ilvl w:val="1"/>
          <w:numId w:val="3"/>
        </w:numPr>
        <w:pBdr>
          <w:top w:val="nil"/>
          <w:left w:val="nil"/>
          <w:bottom w:val="nil"/>
          <w:right w:val="nil"/>
          <w:between w:val="nil"/>
        </w:pBdr>
        <w:spacing w:after="0" w:line="259" w:lineRule="auto"/>
      </w:pPr>
      <w:r>
        <w:rPr>
          <w:color w:val="000000"/>
        </w:rPr>
        <w:t>O TR, elaborado com base nas indicações dos estudos técnicos p</w:t>
      </w:r>
      <w:r>
        <w:rPr>
          <w:color w:val="000000"/>
        </w:rPr>
        <w:t>reliminares, deverá ser fundamentado em quantitativos de serviços e bens propriamente avaliados;</w:t>
      </w:r>
    </w:p>
    <w:p w:rsidR="004E4AF8" w:rsidRDefault="00D62302">
      <w:pPr>
        <w:numPr>
          <w:ilvl w:val="1"/>
          <w:numId w:val="3"/>
        </w:numPr>
        <w:pBdr>
          <w:top w:val="nil"/>
          <w:left w:val="nil"/>
          <w:bottom w:val="nil"/>
          <w:right w:val="nil"/>
          <w:between w:val="nil"/>
        </w:pBdr>
        <w:spacing w:after="0" w:line="259" w:lineRule="auto"/>
      </w:pPr>
      <w:r>
        <w:rPr>
          <w:color w:val="000000"/>
        </w:rPr>
        <w:t>Acrescenta ainda no art. 7, § 4º, que é vedada a inclusão, no objeto da licitação, de fornecimento de materiais e serviços cujos quantitativos não correspondam</w:t>
      </w:r>
      <w:r>
        <w:rPr>
          <w:color w:val="000000"/>
        </w:rPr>
        <w:t xml:space="preserve"> às previsões reais do TR;</w:t>
      </w:r>
    </w:p>
    <w:p w:rsidR="004E4AF8" w:rsidRDefault="00D62302">
      <w:pPr>
        <w:numPr>
          <w:ilvl w:val="1"/>
          <w:numId w:val="3"/>
        </w:numPr>
        <w:pBdr>
          <w:top w:val="nil"/>
          <w:left w:val="nil"/>
          <w:bottom w:val="nil"/>
          <w:right w:val="nil"/>
          <w:between w:val="nil"/>
        </w:pBdr>
        <w:spacing w:line="259" w:lineRule="auto"/>
      </w:pPr>
      <w:r>
        <w:rPr>
          <w:color w:val="000000"/>
        </w:rPr>
        <w:t>Nas contratações de software definir quantitativo de licenças estritamente necessário, vinculando o pagamento dos serviços agregados às licenças efetivamente utilizadas, principalmente em projetos considerados de alto risco ou de</w:t>
      </w:r>
      <w:r>
        <w:rPr>
          <w:color w:val="000000"/>
        </w:rPr>
        <w:t xml:space="preserve"> longo prazo, nos quais o quantitativo deve ser atrelado à evolução do empreendimento, e devidamente documentado nos estudos técnicos preliminares, podendo ser utilizado o Sistema de Registro de Preço, que viabiliza o ganho de escala na compra ao mesmo tem</w:t>
      </w:r>
      <w:r>
        <w:rPr>
          <w:color w:val="000000"/>
        </w:rPr>
        <w:t xml:space="preserve">po que proporciona a aquisição no momento oportuno conforme Decreto 7.892/2013, art. 3º, inciso II, art. 5°, </w:t>
      </w:r>
      <w:r>
        <w:rPr>
          <w:color w:val="000000"/>
        </w:rPr>
        <w:lastRenderedPageBreak/>
        <w:t>incisos I e II, art. 6º, caput, art. 9º, incisos II e III (parágrafos 159 a 162) (</w:t>
      </w:r>
      <w:r>
        <w:rPr>
          <w:i/>
          <w:color w:val="000000"/>
        </w:rPr>
        <w:t>Acórdão 2.569/2018-TCU-Plenário</w:t>
      </w:r>
      <w:r>
        <w:rPr>
          <w:color w:val="000000"/>
        </w:rPr>
        <w:t>).</w:t>
      </w:r>
    </w:p>
    <w:p w:rsidR="004E4AF8" w:rsidRDefault="004E4AF8">
      <w:pPr>
        <w:spacing w:line="259" w:lineRule="auto"/>
        <w:ind w:left="1080"/>
      </w:pPr>
    </w:p>
    <w:p w:rsidR="004E4AF8" w:rsidRDefault="004E4AF8">
      <w:pPr>
        <w:spacing w:line="259" w:lineRule="auto"/>
        <w:ind w:left="1080"/>
      </w:pPr>
    </w:p>
    <w:tbl>
      <w:tblPr>
        <w:tblStyle w:val="afffffffffffffffff8"/>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rPr>
                <w:b/>
              </w:rPr>
            </w:pPr>
            <w:r>
              <w:rPr>
                <w:b/>
              </w:rPr>
              <w:t>3 – ANÁLISE DE SOLUÇÕES POSSÍ</w:t>
            </w:r>
            <w:r>
              <w:rPr>
                <w:b/>
              </w:rPr>
              <w:t>VEIS</w:t>
            </w:r>
          </w:p>
        </w:tc>
      </w:tr>
      <w:tr w:rsidR="004E4AF8">
        <w:trPr>
          <w:trHeight w:val="375"/>
        </w:trPr>
        <w:tc>
          <w:tcPr>
            <w:tcW w:w="9628" w:type="dxa"/>
            <w:shd w:val="clear" w:color="auto" w:fill="FFFFFF"/>
          </w:tcPr>
          <w:p w:rsidR="004E4AF8" w:rsidRDefault="004E4AF8">
            <w:pPr>
              <w:spacing w:line="259" w:lineRule="auto"/>
            </w:pPr>
          </w:p>
          <w:p w:rsidR="004E4AF8" w:rsidRDefault="00D62302">
            <w:pPr>
              <w:spacing w:line="259" w:lineRule="auto"/>
              <w:rPr>
                <w:color w:val="0F6FC6"/>
              </w:rPr>
            </w:pPr>
            <w:r>
              <w:t>&lt;</w:t>
            </w:r>
            <w:r>
              <w:rPr>
                <w:color w:val="0F6FC6"/>
              </w:rPr>
              <w:t>Conforme inciso XX do art. XX da Resolução CNJ nº XXX de XXX de XXXX, deve-se verificar para composição da análise comparativa:</w:t>
            </w:r>
          </w:p>
          <w:p w:rsidR="004E4AF8" w:rsidRDefault="00D62302">
            <w:pPr>
              <w:spacing w:line="259" w:lineRule="auto"/>
              <w:rPr>
                <w:color w:val="0F6FC6"/>
              </w:rPr>
            </w:pPr>
            <w:r>
              <w:rPr>
                <w:color w:val="0F6FC6"/>
              </w:rPr>
              <w:t>– A disponibilidade de solução similar em outro órgão ou entidade da Administração Pública;</w:t>
            </w:r>
          </w:p>
          <w:p w:rsidR="004E4AF8" w:rsidRDefault="00D62302">
            <w:pPr>
              <w:spacing w:line="259" w:lineRule="auto"/>
              <w:rPr>
                <w:color w:val="0F6FC6"/>
              </w:rPr>
            </w:pPr>
            <w:r>
              <w:rPr>
                <w:color w:val="0F6FC6"/>
              </w:rPr>
              <w:t>– As alternativas do mercado;</w:t>
            </w:r>
          </w:p>
          <w:p w:rsidR="004E4AF8" w:rsidRDefault="00D62302">
            <w:pPr>
              <w:spacing w:line="259" w:lineRule="auto"/>
              <w:rPr>
                <w:color w:val="0F6FC6"/>
              </w:rPr>
            </w:pPr>
            <w:r>
              <w:rPr>
                <w:color w:val="0F6FC6"/>
              </w:rPr>
              <w:t>– A existência de software público brasileiro;</w:t>
            </w:r>
          </w:p>
          <w:p w:rsidR="004E4AF8" w:rsidRDefault="00D62302">
            <w:pPr>
              <w:spacing w:line="259" w:lineRule="auto"/>
              <w:rPr>
                <w:color w:val="0F6FC6"/>
              </w:rPr>
            </w:pPr>
            <w:r>
              <w:rPr>
                <w:color w:val="0F6FC6"/>
              </w:rPr>
              <w:t>– As políticas, os modelos e os padrões de governo, quando aplicáveis;</w:t>
            </w:r>
          </w:p>
          <w:p w:rsidR="004E4AF8" w:rsidRDefault="00D62302">
            <w:pPr>
              <w:spacing w:line="259" w:lineRule="auto"/>
              <w:rPr>
                <w:color w:val="0F6FC6"/>
              </w:rPr>
            </w:pPr>
            <w:r>
              <w:rPr>
                <w:color w:val="0F6FC6"/>
              </w:rPr>
              <w:t>– As necessidades de adequação do ambiente do órgão ou entidade para viabilizar a execução contratual (exemp</w:t>
            </w:r>
            <w:r>
              <w:rPr>
                <w:color w:val="0F6FC6"/>
              </w:rPr>
              <w:t>lo: mobiliário, instalação elétrica, espaço adequado para prestação do serviço, meio ambiente (não obrigatório), entre outros);</w:t>
            </w:r>
          </w:p>
          <w:p w:rsidR="004E4AF8" w:rsidRDefault="00D62302">
            <w:pPr>
              <w:spacing w:line="259" w:lineRule="auto"/>
              <w:rPr>
                <w:color w:val="0F6FC6"/>
              </w:rPr>
            </w:pPr>
            <w:r>
              <w:rPr>
                <w:color w:val="0F6FC6"/>
              </w:rPr>
              <w:t>– A possibilidade de aquisição na forma de bens ou contratação como serviço;</w:t>
            </w:r>
          </w:p>
          <w:p w:rsidR="004E4AF8" w:rsidRDefault="00D62302">
            <w:pPr>
              <w:spacing w:line="259" w:lineRule="auto"/>
              <w:rPr>
                <w:color w:val="0F6FC6"/>
              </w:rPr>
            </w:pPr>
            <w:r>
              <w:rPr>
                <w:color w:val="0F6FC6"/>
              </w:rPr>
              <w:t>– Os diferentes modelos de prestação do serviço;</w:t>
            </w:r>
          </w:p>
          <w:p w:rsidR="004E4AF8" w:rsidRDefault="00D62302">
            <w:pPr>
              <w:spacing w:line="259" w:lineRule="auto"/>
              <w:rPr>
                <w:color w:val="0F6FC6"/>
              </w:rPr>
            </w:pPr>
            <w:r>
              <w:rPr>
                <w:color w:val="0F6FC6"/>
              </w:rPr>
              <w:t xml:space="preserve">– </w:t>
            </w:r>
            <w:r>
              <w:rPr>
                <w:color w:val="0F6FC6"/>
              </w:rPr>
              <w:t>Os diferentes tipos de soluções em termos de especificação, composição ou características dos bens e serviços integrantes;</w:t>
            </w:r>
          </w:p>
          <w:p w:rsidR="004E4AF8" w:rsidRDefault="00D62302">
            <w:pPr>
              <w:spacing w:line="259" w:lineRule="auto"/>
              <w:rPr>
                <w:color w:val="0F6FC6"/>
              </w:rPr>
            </w:pPr>
            <w:r>
              <w:rPr>
                <w:color w:val="0F6FC6"/>
              </w:rPr>
              <w:t>– A ampliação ou substituição da solução implantada.</w:t>
            </w:r>
          </w:p>
          <w:p w:rsidR="004E4AF8" w:rsidRDefault="00D62302">
            <w:pPr>
              <w:spacing w:line="259" w:lineRule="auto"/>
              <w:rPr>
                <w:color w:val="2191C9"/>
              </w:rPr>
            </w:pPr>
            <w:r>
              <w:rPr>
                <w:color w:val="0F6FC6"/>
              </w:rPr>
              <w:t>Com base neste levantamento, cenários ou arranjos poderão ser formados para comp</w:t>
            </w:r>
            <w:r>
              <w:rPr>
                <w:color w:val="0F6FC6"/>
              </w:rPr>
              <w:t>or as soluções possíveis para atendimento da necessidade</w:t>
            </w:r>
            <w:r>
              <w:t>&gt;.</w:t>
            </w:r>
          </w:p>
          <w:p w:rsidR="004E4AF8" w:rsidRDefault="004E4AF8">
            <w:pPr>
              <w:spacing w:line="259" w:lineRule="auto"/>
              <w:rPr>
                <w:b/>
              </w:rPr>
            </w:pPr>
          </w:p>
        </w:tc>
      </w:tr>
    </w:tbl>
    <w:p w:rsidR="004E4AF8" w:rsidRDefault="004E4AF8">
      <w:pPr>
        <w:spacing w:line="259" w:lineRule="auto"/>
        <w:jc w:val="left"/>
      </w:pPr>
    </w:p>
    <w:p w:rsidR="004E4AF8" w:rsidRDefault="00D62302">
      <w:pPr>
        <w:spacing w:line="259" w:lineRule="auto"/>
        <w:jc w:val="left"/>
      </w:pPr>
      <w:r>
        <w:t>Observações:</w:t>
      </w:r>
    </w:p>
    <w:p w:rsidR="004E4AF8" w:rsidRDefault="00D62302">
      <w:pPr>
        <w:numPr>
          <w:ilvl w:val="0"/>
          <w:numId w:val="4"/>
        </w:numPr>
        <w:pBdr>
          <w:top w:val="nil"/>
          <w:left w:val="nil"/>
          <w:bottom w:val="nil"/>
          <w:right w:val="nil"/>
          <w:between w:val="nil"/>
        </w:pBdr>
        <w:spacing w:after="0" w:line="259" w:lineRule="auto"/>
      </w:pPr>
      <w:r>
        <w:rPr>
          <w:color w:val="000000"/>
        </w:rPr>
        <w:t>Recomenda-se avaliar o grau de dependência da solução a ser contratada e planejem ações para minimizar impactos causados por eventual necessidade de substituir a solução a ser adquirida (</w:t>
      </w:r>
      <w:r>
        <w:rPr>
          <w:i/>
          <w:color w:val="000000"/>
        </w:rPr>
        <w:t>Acórdão 2.569/2018 Plenário</w:t>
      </w:r>
      <w:r>
        <w:rPr>
          <w:color w:val="000000"/>
        </w:rPr>
        <w:t>);</w:t>
      </w:r>
    </w:p>
    <w:p w:rsidR="004E4AF8" w:rsidRDefault="00D62302">
      <w:pPr>
        <w:numPr>
          <w:ilvl w:val="0"/>
          <w:numId w:val="4"/>
        </w:numPr>
        <w:pBdr>
          <w:top w:val="nil"/>
          <w:left w:val="nil"/>
          <w:bottom w:val="nil"/>
          <w:right w:val="nil"/>
          <w:between w:val="nil"/>
        </w:pBdr>
        <w:spacing w:after="0" w:line="259" w:lineRule="auto"/>
      </w:pPr>
      <w:r>
        <w:rPr>
          <w:color w:val="000000"/>
        </w:rPr>
        <w:t>Recomenda-se avaliar o grau de dependên</w:t>
      </w:r>
      <w:r>
        <w:rPr>
          <w:color w:val="000000"/>
        </w:rPr>
        <w:t>cia da solução a ser contratada e planejem ações para minimizar impactos causados por eventual necessidade de substituir a solução a ser adquirida (</w:t>
      </w:r>
      <w:r>
        <w:rPr>
          <w:i/>
          <w:color w:val="000000"/>
        </w:rPr>
        <w:t>Acórdão 2.569/2018 Plenário</w:t>
      </w:r>
      <w:r>
        <w:rPr>
          <w:color w:val="000000"/>
        </w:rPr>
        <w:t>);</w:t>
      </w:r>
    </w:p>
    <w:p w:rsidR="004E4AF8" w:rsidRDefault="00D62302">
      <w:pPr>
        <w:numPr>
          <w:ilvl w:val="0"/>
          <w:numId w:val="4"/>
        </w:numPr>
        <w:pBdr>
          <w:top w:val="nil"/>
          <w:left w:val="nil"/>
          <w:bottom w:val="nil"/>
          <w:right w:val="nil"/>
          <w:between w:val="nil"/>
        </w:pBdr>
        <w:spacing w:after="0" w:line="259" w:lineRule="auto"/>
      </w:pPr>
      <w:r>
        <w:rPr>
          <w:color w:val="000000"/>
        </w:rPr>
        <w:t xml:space="preserve">Recomenda-se avaliar a relação custo-benefício de manter a solução implantada </w:t>
      </w:r>
      <w:r>
        <w:rPr>
          <w:color w:val="000000"/>
        </w:rPr>
        <w:t>ou de substituí-la, em casos que, mesmo havendo alto impacto na migração da solução, haja ganhos financeiros para a organização (Acórdão 2.569/2018 Plenário);</w:t>
      </w:r>
    </w:p>
    <w:p w:rsidR="004E4AF8" w:rsidRDefault="00D62302">
      <w:pPr>
        <w:numPr>
          <w:ilvl w:val="0"/>
          <w:numId w:val="4"/>
        </w:numPr>
        <w:pBdr>
          <w:top w:val="nil"/>
          <w:left w:val="nil"/>
          <w:bottom w:val="nil"/>
          <w:right w:val="nil"/>
          <w:between w:val="nil"/>
        </w:pBdr>
        <w:spacing w:after="0" w:line="259" w:lineRule="auto"/>
      </w:pPr>
      <w:r>
        <w:rPr>
          <w:color w:val="000000"/>
        </w:rPr>
        <w:t>Recomenda-se avaliar o custo/benefício de contratar os serviços de suporte técnico e de atualizaç</w:t>
      </w:r>
      <w:r>
        <w:rPr>
          <w:color w:val="000000"/>
        </w:rPr>
        <w:t>ão de versões, sejam ambos ou somente um deles, ou de não contratar nenhum desses serviços, considerando elementos como a necessidade de negócio que motive a contratação desse serviço e o preço praticado por esse serviço, de acordo com a Constituição Feder</w:t>
      </w:r>
      <w:r>
        <w:rPr>
          <w:color w:val="000000"/>
        </w:rPr>
        <w:t>al, art. 37, caput (parágrafos 287 a 290 e 299 a 302) (</w:t>
      </w:r>
      <w:r>
        <w:rPr>
          <w:i/>
          <w:color w:val="000000"/>
        </w:rPr>
        <w:t>Acórdão 2.569/2018 Plenário</w:t>
      </w:r>
      <w:r>
        <w:rPr>
          <w:color w:val="000000"/>
        </w:rPr>
        <w:t>);</w:t>
      </w:r>
    </w:p>
    <w:p w:rsidR="004E4AF8" w:rsidRDefault="00D62302">
      <w:pPr>
        <w:numPr>
          <w:ilvl w:val="0"/>
          <w:numId w:val="4"/>
        </w:numPr>
        <w:pBdr>
          <w:top w:val="nil"/>
          <w:left w:val="nil"/>
          <w:bottom w:val="nil"/>
          <w:right w:val="nil"/>
          <w:between w:val="nil"/>
        </w:pBdr>
        <w:spacing w:line="259" w:lineRule="auto"/>
      </w:pPr>
      <w:r>
        <w:rPr>
          <w:color w:val="000000"/>
        </w:rPr>
        <w:lastRenderedPageBreak/>
        <w:t xml:space="preserve">Recomenda-se avaliar o impacto orçamentário e financeiro das contratações de sotware baseadas em modelos voltados totalmente para serviços, a exemplo de SaaS e Computação </w:t>
      </w:r>
      <w:r>
        <w:rPr>
          <w:color w:val="000000"/>
        </w:rPr>
        <w:t>em Nuvem, de forma a subsidiar o planejamento para a mudança na forma de custeio da TI governamental ao longo dos anos (parágrafo 377 no Acórdão 2.569/2018 Plenário).</w:t>
      </w:r>
    </w:p>
    <w:p w:rsidR="004E4AF8" w:rsidRDefault="004E4AF8">
      <w:pPr>
        <w:spacing w:line="259" w:lineRule="auto"/>
        <w:jc w:val="left"/>
      </w:pPr>
    </w:p>
    <w:tbl>
      <w:tblPr>
        <w:tblStyle w:val="afffffffffffffffff9"/>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555"/>
        <w:gridCol w:w="9073"/>
      </w:tblGrid>
      <w:tr w:rsidR="004E4AF8">
        <w:tc>
          <w:tcPr>
            <w:tcW w:w="9628" w:type="dxa"/>
            <w:gridSpan w:val="2"/>
            <w:shd w:val="clear" w:color="auto" w:fill="BFBFBF"/>
          </w:tcPr>
          <w:p w:rsidR="004E4AF8" w:rsidRDefault="00D62302">
            <w:pPr>
              <w:spacing w:line="259" w:lineRule="auto"/>
              <w:rPr>
                <w:b/>
              </w:rPr>
            </w:pPr>
            <w:r>
              <w:rPr>
                <w:b/>
              </w:rPr>
              <w:t>3.1 – IDENTIFICAÇÃO DAS SOLUÇÕES</w:t>
            </w:r>
          </w:p>
        </w:tc>
      </w:tr>
      <w:tr w:rsidR="004E4AF8">
        <w:trPr>
          <w:trHeight w:val="419"/>
        </w:trPr>
        <w:tc>
          <w:tcPr>
            <w:tcW w:w="555" w:type="dxa"/>
            <w:shd w:val="clear" w:color="auto" w:fill="F2F2F2"/>
            <w:vAlign w:val="center"/>
          </w:tcPr>
          <w:p w:rsidR="004E4AF8" w:rsidRDefault="00D62302">
            <w:pPr>
              <w:spacing w:line="259" w:lineRule="auto"/>
              <w:jc w:val="center"/>
              <w:rPr>
                <w:b/>
              </w:rPr>
            </w:pPr>
            <w:r>
              <w:rPr>
                <w:b/>
              </w:rPr>
              <w:t>Id</w:t>
            </w:r>
          </w:p>
        </w:tc>
        <w:tc>
          <w:tcPr>
            <w:tcW w:w="9073" w:type="dxa"/>
            <w:shd w:val="clear" w:color="auto" w:fill="F2F2F2"/>
            <w:vAlign w:val="center"/>
          </w:tcPr>
          <w:p w:rsidR="004E4AF8" w:rsidRDefault="00D62302">
            <w:pPr>
              <w:spacing w:line="259" w:lineRule="auto"/>
              <w:jc w:val="center"/>
              <w:rPr>
                <w:b/>
              </w:rPr>
            </w:pPr>
            <w:r>
              <w:rPr>
                <w:b/>
              </w:rPr>
              <w:t>Descrição da solução (ou cenário)</w:t>
            </w:r>
          </w:p>
        </w:tc>
      </w:tr>
      <w:tr w:rsidR="004E4AF8">
        <w:trPr>
          <w:trHeight w:val="419"/>
        </w:trPr>
        <w:tc>
          <w:tcPr>
            <w:tcW w:w="555" w:type="dxa"/>
            <w:vAlign w:val="center"/>
          </w:tcPr>
          <w:p w:rsidR="004E4AF8" w:rsidRDefault="00D62302">
            <w:pPr>
              <w:spacing w:line="259" w:lineRule="auto"/>
              <w:jc w:val="center"/>
              <w:rPr>
                <w:b/>
                <w:color w:val="0F6FC6"/>
              </w:rPr>
            </w:pPr>
            <w:r>
              <w:rPr>
                <w:b/>
                <w:color w:val="0F6FC6"/>
              </w:rPr>
              <w:t>1</w:t>
            </w:r>
          </w:p>
        </w:tc>
        <w:tc>
          <w:tcPr>
            <w:tcW w:w="9073" w:type="dxa"/>
            <w:vAlign w:val="center"/>
          </w:tcPr>
          <w:p w:rsidR="004E4AF8" w:rsidRDefault="00D62302">
            <w:pPr>
              <w:spacing w:line="259" w:lineRule="auto"/>
            </w:pPr>
            <w:r>
              <w:t>&lt;</w:t>
            </w:r>
            <w:r>
              <w:rPr>
                <w:color w:val="0F6FC6"/>
              </w:rPr>
              <w:t>Descrição da SOLUÇÃO 1</w:t>
            </w:r>
            <w:r>
              <w:t>&gt;</w:t>
            </w:r>
          </w:p>
        </w:tc>
      </w:tr>
      <w:tr w:rsidR="004E4AF8">
        <w:trPr>
          <w:trHeight w:val="419"/>
        </w:trPr>
        <w:tc>
          <w:tcPr>
            <w:tcW w:w="555" w:type="dxa"/>
            <w:vAlign w:val="center"/>
          </w:tcPr>
          <w:p w:rsidR="004E4AF8" w:rsidRDefault="00D62302">
            <w:pPr>
              <w:spacing w:line="259" w:lineRule="auto"/>
              <w:jc w:val="center"/>
              <w:rPr>
                <w:b/>
                <w:color w:val="0F6FC6"/>
              </w:rPr>
            </w:pPr>
            <w:r>
              <w:rPr>
                <w:b/>
                <w:color w:val="0F6FC6"/>
              </w:rPr>
              <w:t>...</w:t>
            </w:r>
          </w:p>
        </w:tc>
        <w:tc>
          <w:tcPr>
            <w:tcW w:w="9073" w:type="dxa"/>
            <w:vAlign w:val="center"/>
          </w:tcPr>
          <w:p w:rsidR="004E4AF8" w:rsidRDefault="004E4AF8">
            <w:pPr>
              <w:spacing w:line="259" w:lineRule="auto"/>
            </w:pPr>
          </w:p>
        </w:tc>
      </w:tr>
      <w:tr w:rsidR="004E4AF8">
        <w:trPr>
          <w:trHeight w:val="419"/>
        </w:trPr>
        <w:tc>
          <w:tcPr>
            <w:tcW w:w="555" w:type="dxa"/>
            <w:vAlign w:val="center"/>
          </w:tcPr>
          <w:p w:rsidR="004E4AF8" w:rsidRDefault="00D62302">
            <w:pPr>
              <w:spacing w:line="259" w:lineRule="auto"/>
              <w:jc w:val="center"/>
              <w:rPr>
                <w:b/>
                <w:color w:val="0F6FC6"/>
              </w:rPr>
            </w:pPr>
            <w:r>
              <w:rPr>
                <w:b/>
                <w:color w:val="0F6FC6"/>
              </w:rPr>
              <w:t>N</w:t>
            </w:r>
          </w:p>
        </w:tc>
        <w:tc>
          <w:tcPr>
            <w:tcW w:w="9073" w:type="dxa"/>
            <w:vAlign w:val="center"/>
          </w:tcPr>
          <w:p w:rsidR="004E4AF8" w:rsidRDefault="00D62302">
            <w:pPr>
              <w:spacing w:line="259" w:lineRule="auto"/>
            </w:pPr>
            <w:r>
              <w:t>&lt;</w:t>
            </w:r>
            <w:r>
              <w:rPr>
                <w:color w:val="0F6FC6"/>
              </w:rPr>
              <w:t>Descrição da SOLUÇÃO N</w:t>
            </w:r>
            <w:r>
              <w:t>&gt;</w:t>
            </w:r>
          </w:p>
        </w:tc>
      </w:tr>
    </w:tbl>
    <w:p w:rsidR="004E4AF8" w:rsidRDefault="004E4AF8">
      <w:pPr>
        <w:spacing w:after="0" w:line="240" w:lineRule="auto"/>
        <w:jc w:val="left"/>
      </w:pPr>
    </w:p>
    <w:tbl>
      <w:tblPr>
        <w:tblStyle w:val="afffffffffffffffffa"/>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rPr>
                <w:b/>
              </w:rPr>
            </w:pPr>
            <w:r>
              <w:rPr>
                <w:b/>
              </w:rPr>
              <w:t>3.2 – IDENTIFICAÇÃO DAS SOLUÇÕES</w:t>
            </w:r>
          </w:p>
        </w:tc>
      </w:tr>
      <w:tr w:rsidR="004E4AF8">
        <w:trPr>
          <w:trHeight w:val="419"/>
        </w:trPr>
        <w:tc>
          <w:tcPr>
            <w:tcW w:w="9628" w:type="dxa"/>
            <w:vAlign w:val="center"/>
          </w:tcPr>
          <w:p w:rsidR="004E4AF8" w:rsidRDefault="00D62302">
            <w:pPr>
              <w:spacing w:line="259" w:lineRule="auto"/>
            </w:pPr>
            <w:r>
              <w:t>&lt;</w:t>
            </w:r>
            <w:r>
              <w:rPr>
                <w:color w:val="0F6FC6"/>
              </w:rPr>
              <w:t>Consiste em uma análise crítica entre as diferentes soluções, considerando o aspecto econômico (TCO) entre as Soluções e os aspectos qualitativos em termos de benefícios para o alcance dos objetivos da contratação</w:t>
            </w:r>
            <w:r>
              <w:t>&gt;</w:t>
            </w:r>
          </w:p>
          <w:p w:rsidR="004E4AF8" w:rsidRDefault="004E4AF8">
            <w:pPr>
              <w:spacing w:line="259" w:lineRule="auto"/>
            </w:pPr>
          </w:p>
          <w:p w:rsidR="004E4AF8" w:rsidRDefault="00D62302">
            <w:pPr>
              <w:spacing w:line="259" w:lineRule="auto"/>
            </w:pPr>
            <w:r>
              <w:t>&lt;</w:t>
            </w:r>
            <w:r>
              <w:rPr>
                <w:color w:val="0F6FC6"/>
              </w:rPr>
              <w:t xml:space="preserve">Como auxílio, o quadro seguinte poderá </w:t>
            </w:r>
            <w:r>
              <w:rPr>
                <w:color w:val="0F6FC6"/>
              </w:rPr>
              <w:t>ser utilizado para comparação de alguns requisitos entre</w:t>
            </w:r>
            <w:r>
              <w:rPr>
                <w:color w:val="0F6FC6"/>
              </w:rPr>
              <w:br/>
              <w:t>as Soluções identificadas</w:t>
            </w:r>
            <w:r>
              <w:t>&gt;</w:t>
            </w:r>
          </w:p>
        </w:tc>
      </w:tr>
    </w:tbl>
    <w:p w:rsidR="004E4AF8" w:rsidRDefault="004E4AF8">
      <w:pPr>
        <w:spacing w:after="0" w:line="240" w:lineRule="auto"/>
        <w:jc w:val="left"/>
      </w:pPr>
    </w:p>
    <w:tbl>
      <w:tblPr>
        <w:tblStyle w:val="afffffffffffffffffb"/>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6091"/>
        <w:gridCol w:w="1280"/>
        <w:gridCol w:w="629"/>
        <w:gridCol w:w="645"/>
        <w:gridCol w:w="983"/>
      </w:tblGrid>
      <w:tr w:rsidR="004E4AF8">
        <w:tc>
          <w:tcPr>
            <w:tcW w:w="6091" w:type="dxa"/>
            <w:shd w:val="clear" w:color="auto" w:fill="BFBFBF"/>
            <w:vAlign w:val="center"/>
          </w:tcPr>
          <w:p w:rsidR="004E4AF8" w:rsidRDefault="00D62302">
            <w:pPr>
              <w:spacing w:line="259" w:lineRule="auto"/>
              <w:jc w:val="center"/>
              <w:rPr>
                <w:b/>
              </w:rPr>
            </w:pPr>
            <w:r>
              <w:rPr>
                <w:b/>
              </w:rPr>
              <w:t>Requisito</w:t>
            </w:r>
          </w:p>
        </w:tc>
        <w:tc>
          <w:tcPr>
            <w:tcW w:w="1280" w:type="dxa"/>
            <w:shd w:val="clear" w:color="auto" w:fill="BFBFBF"/>
            <w:vAlign w:val="center"/>
          </w:tcPr>
          <w:p w:rsidR="004E4AF8" w:rsidRDefault="00D62302">
            <w:pPr>
              <w:spacing w:line="259" w:lineRule="auto"/>
              <w:jc w:val="center"/>
              <w:rPr>
                <w:b/>
              </w:rPr>
            </w:pPr>
            <w:r>
              <w:rPr>
                <w:b/>
              </w:rPr>
              <w:t>Solução</w:t>
            </w:r>
          </w:p>
        </w:tc>
        <w:tc>
          <w:tcPr>
            <w:tcW w:w="629" w:type="dxa"/>
            <w:shd w:val="clear" w:color="auto" w:fill="BFBFBF"/>
            <w:vAlign w:val="center"/>
          </w:tcPr>
          <w:p w:rsidR="004E4AF8" w:rsidRDefault="00D62302">
            <w:pPr>
              <w:spacing w:line="259" w:lineRule="auto"/>
              <w:jc w:val="center"/>
              <w:rPr>
                <w:b/>
              </w:rPr>
            </w:pPr>
            <w:r>
              <w:rPr>
                <w:b/>
              </w:rPr>
              <w:t>Sim</w:t>
            </w:r>
          </w:p>
        </w:tc>
        <w:tc>
          <w:tcPr>
            <w:tcW w:w="645" w:type="dxa"/>
            <w:shd w:val="clear" w:color="auto" w:fill="BFBFBF"/>
            <w:vAlign w:val="center"/>
          </w:tcPr>
          <w:p w:rsidR="004E4AF8" w:rsidRDefault="00D62302">
            <w:pPr>
              <w:spacing w:line="259" w:lineRule="auto"/>
              <w:jc w:val="center"/>
              <w:rPr>
                <w:b/>
              </w:rPr>
            </w:pPr>
            <w:r>
              <w:rPr>
                <w:b/>
              </w:rPr>
              <w:t>Não</w:t>
            </w:r>
          </w:p>
        </w:tc>
        <w:tc>
          <w:tcPr>
            <w:tcW w:w="983" w:type="dxa"/>
            <w:shd w:val="clear" w:color="auto" w:fill="BFBFBF"/>
            <w:vAlign w:val="center"/>
          </w:tcPr>
          <w:p w:rsidR="004E4AF8" w:rsidRDefault="00D62302">
            <w:pPr>
              <w:spacing w:line="259" w:lineRule="auto"/>
              <w:jc w:val="center"/>
              <w:rPr>
                <w:b/>
              </w:rPr>
            </w:pPr>
            <w:r>
              <w:rPr>
                <w:b/>
              </w:rPr>
              <w:t>Não se Aplica</w:t>
            </w:r>
          </w:p>
        </w:tc>
      </w:tr>
      <w:tr w:rsidR="004E4AF8">
        <w:tc>
          <w:tcPr>
            <w:tcW w:w="6091" w:type="dxa"/>
            <w:vMerge w:val="restart"/>
            <w:shd w:val="clear" w:color="auto" w:fill="D9D9D9"/>
            <w:vAlign w:val="center"/>
          </w:tcPr>
          <w:p w:rsidR="004E4AF8" w:rsidRDefault="00D62302">
            <w:pPr>
              <w:spacing w:line="259" w:lineRule="auto"/>
            </w:pPr>
            <w:r>
              <w:t>A Solução encontra-se implantada em outro órgão ou entidade da</w:t>
            </w:r>
            <w:r>
              <w:br/>
              <w:t>Administração Pública?</w:t>
            </w:r>
          </w:p>
        </w:tc>
        <w:tc>
          <w:tcPr>
            <w:tcW w:w="1280" w:type="dxa"/>
            <w:vAlign w:val="center"/>
          </w:tcPr>
          <w:p w:rsidR="004E4AF8" w:rsidRDefault="00D62302">
            <w:pPr>
              <w:spacing w:line="259" w:lineRule="auto"/>
              <w:jc w:val="left"/>
            </w:pPr>
            <w:r>
              <w:t>Solução 1</w:t>
            </w:r>
          </w:p>
        </w:tc>
        <w:tc>
          <w:tcPr>
            <w:tcW w:w="629" w:type="dxa"/>
            <w:vAlign w:val="center"/>
          </w:tcPr>
          <w:p w:rsidR="004E4AF8" w:rsidRDefault="00D62302">
            <w:pPr>
              <w:spacing w:line="259" w:lineRule="auto"/>
              <w:jc w:val="center"/>
              <w:rPr>
                <w:color w:val="0F6FC6"/>
              </w:rPr>
            </w:pPr>
            <w:r>
              <w:rPr>
                <w:color w:val="0F6FC6"/>
              </w:rPr>
              <w:t>X</w:t>
            </w:r>
          </w:p>
        </w:tc>
        <w:tc>
          <w:tcPr>
            <w:tcW w:w="645" w:type="dxa"/>
            <w:vAlign w:val="center"/>
          </w:tcPr>
          <w:p w:rsidR="004E4AF8" w:rsidRDefault="004E4AF8">
            <w:pPr>
              <w:spacing w:line="259" w:lineRule="auto"/>
              <w:jc w:val="center"/>
              <w:rPr>
                <w:color w:val="0F6FC6"/>
              </w:rPr>
            </w:pPr>
          </w:p>
        </w:tc>
        <w:tc>
          <w:tcPr>
            <w:tcW w:w="983" w:type="dxa"/>
            <w:vAlign w:val="center"/>
          </w:tcPr>
          <w:p w:rsidR="004E4AF8" w:rsidRDefault="004E4AF8">
            <w:pPr>
              <w:spacing w:line="259" w:lineRule="auto"/>
              <w:jc w:val="center"/>
              <w:rPr>
                <w:color w:val="0F6FC6"/>
              </w:rPr>
            </w:pPr>
          </w:p>
        </w:tc>
      </w:tr>
      <w:tr w:rsidR="004E4AF8">
        <w:tc>
          <w:tcPr>
            <w:tcW w:w="6091" w:type="dxa"/>
            <w:vMerge/>
            <w:shd w:val="clear" w:color="auto" w:fill="D9D9D9"/>
            <w:vAlign w:val="center"/>
          </w:tcPr>
          <w:p w:rsidR="004E4AF8" w:rsidRDefault="004E4AF8">
            <w:pPr>
              <w:widowControl w:val="0"/>
              <w:pBdr>
                <w:top w:val="nil"/>
                <w:left w:val="nil"/>
                <w:bottom w:val="nil"/>
                <w:right w:val="nil"/>
                <w:between w:val="nil"/>
              </w:pBdr>
              <w:spacing w:line="276" w:lineRule="auto"/>
              <w:jc w:val="left"/>
              <w:rPr>
                <w:color w:val="0F6FC6"/>
              </w:rPr>
            </w:pPr>
          </w:p>
        </w:tc>
        <w:tc>
          <w:tcPr>
            <w:tcW w:w="1280" w:type="dxa"/>
            <w:vAlign w:val="center"/>
          </w:tcPr>
          <w:p w:rsidR="004E4AF8" w:rsidRDefault="00D62302">
            <w:pPr>
              <w:spacing w:line="259" w:lineRule="auto"/>
              <w:jc w:val="left"/>
            </w:pPr>
            <w:r>
              <w:t>Solução 2</w:t>
            </w:r>
          </w:p>
        </w:tc>
        <w:tc>
          <w:tcPr>
            <w:tcW w:w="629" w:type="dxa"/>
            <w:vAlign w:val="center"/>
          </w:tcPr>
          <w:p w:rsidR="004E4AF8" w:rsidRDefault="004E4AF8">
            <w:pPr>
              <w:spacing w:line="259" w:lineRule="auto"/>
              <w:jc w:val="center"/>
              <w:rPr>
                <w:color w:val="0F6FC6"/>
              </w:rPr>
            </w:pPr>
          </w:p>
        </w:tc>
        <w:tc>
          <w:tcPr>
            <w:tcW w:w="645" w:type="dxa"/>
            <w:vAlign w:val="center"/>
          </w:tcPr>
          <w:p w:rsidR="004E4AF8" w:rsidRDefault="00D62302">
            <w:pPr>
              <w:spacing w:line="259" w:lineRule="auto"/>
              <w:jc w:val="center"/>
              <w:rPr>
                <w:color w:val="0F6FC6"/>
              </w:rPr>
            </w:pPr>
            <w:r>
              <w:rPr>
                <w:color w:val="0F6FC6"/>
              </w:rPr>
              <w:t>X</w:t>
            </w:r>
          </w:p>
        </w:tc>
        <w:tc>
          <w:tcPr>
            <w:tcW w:w="983" w:type="dxa"/>
            <w:vAlign w:val="center"/>
          </w:tcPr>
          <w:p w:rsidR="004E4AF8" w:rsidRDefault="004E4AF8">
            <w:pPr>
              <w:spacing w:line="259" w:lineRule="auto"/>
              <w:jc w:val="center"/>
              <w:rPr>
                <w:color w:val="0F6FC6"/>
              </w:rPr>
            </w:pPr>
          </w:p>
        </w:tc>
      </w:tr>
      <w:tr w:rsidR="004E4AF8">
        <w:tc>
          <w:tcPr>
            <w:tcW w:w="6091" w:type="dxa"/>
            <w:vMerge/>
            <w:shd w:val="clear" w:color="auto" w:fill="D9D9D9"/>
            <w:vAlign w:val="center"/>
          </w:tcPr>
          <w:p w:rsidR="004E4AF8" w:rsidRDefault="004E4AF8">
            <w:pPr>
              <w:widowControl w:val="0"/>
              <w:pBdr>
                <w:top w:val="nil"/>
                <w:left w:val="nil"/>
                <w:bottom w:val="nil"/>
                <w:right w:val="nil"/>
                <w:between w:val="nil"/>
              </w:pBdr>
              <w:spacing w:line="276" w:lineRule="auto"/>
              <w:jc w:val="left"/>
              <w:rPr>
                <w:color w:val="0F6FC6"/>
              </w:rPr>
            </w:pPr>
          </w:p>
        </w:tc>
        <w:tc>
          <w:tcPr>
            <w:tcW w:w="1280" w:type="dxa"/>
            <w:vAlign w:val="center"/>
          </w:tcPr>
          <w:p w:rsidR="004E4AF8" w:rsidRDefault="00D62302">
            <w:pPr>
              <w:spacing w:line="259" w:lineRule="auto"/>
              <w:jc w:val="left"/>
            </w:pPr>
            <w:r>
              <w:t>Solução N</w:t>
            </w:r>
          </w:p>
        </w:tc>
        <w:tc>
          <w:tcPr>
            <w:tcW w:w="629" w:type="dxa"/>
            <w:vAlign w:val="center"/>
          </w:tcPr>
          <w:p w:rsidR="004E4AF8" w:rsidRDefault="004E4AF8">
            <w:pPr>
              <w:spacing w:line="259" w:lineRule="auto"/>
              <w:jc w:val="center"/>
              <w:rPr>
                <w:color w:val="0F6FC6"/>
              </w:rPr>
            </w:pPr>
          </w:p>
        </w:tc>
        <w:tc>
          <w:tcPr>
            <w:tcW w:w="645" w:type="dxa"/>
            <w:vAlign w:val="center"/>
          </w:tcPr>
          <w:p w:rsidR="004E4AF8" w:rsidRDefault="004E4AF8">
            <w:pPr>
              <w:spacing w:line="259" w:lineRule="auto"/>
              <w:jc w:val="center"/>
              <w:rPr>
                <w:color w:val="0F6FC6"/>
              </w:rPr>
            </w:pPr>
          </w:p>
        </w:tc>
        <w:tc>
          <w:tcPr>
            <w:tcW w:w="983" w:type="dxa"/>
            <w:vAlign w:val="center"/>
          </w:tcPr>
          <w:p w:rsidR="004E4AF8" w:rsidRDefault="00D62302">
            <w:pPr>
              <w:spacing w:line="259" w:lineRule="auto"/>
              <w:jc w:val="center"/>
              <w:rPr>
                <w:color w:val="0F6FC6"/>
              </w:rPr>
            </w:pPr>
            <w:r>
              <w:rPr>
                <w:color w:val="0F6FC6"/>
              </w:rPr>
              <w:t>X</w:t>
            </w:r>
          </w:p>
        </w:tc>
      </w:tr>
      <w:tr w:rsidR="004E4AF8">
        <w:tc>
          <w:tcPr>
            <w:tcW w:w="6091" w:type="dxa"/>
            <w:vMerge w:val="restart"/>
            <w:shd w:val="clear" w:color="auto" w:fill="D9D9D9"/>
            <w:vAlign w:val="center"/>
          </w:tcPr>
          <w:p w:rsidR="004E4AF8" w:rsidRDefault="00D62302">
            <w:pPr>
              <w:spacing w:line="259" w:lineRule="auto"/>
            </w:pPr>
            <w:r>
              <w:t>A Solução está disponível no Portal do Software Público Brasileiro?</w:t>
            </w:r>
            <w:r>
              <w:br/>
              <w:t>(quando se tratar de software)</w:t>
            </w:r>
          </w:p>
        </w:tc>
        <w:tc>
          <w:tcPr>
            <w:tcW w:w="1280" w:type="dxa"/>
          </w:tcPr>
          <w:p w:rsidR="004E4AF8" w:rsidRDefault="00D62302">
            <w:pPr>
              <w:spacing w:line="259" w:lineRule="auto"/>
              <w:jc w:val="left"/>
            </w:pPr>
            <w:r>
              <w:t>Solução 1</w:t>
            </w:r>
          </w:p>
        </w:tc>
        <w:tc>
          <w:tcPr>
            <w:tcW w:w="629" w:type="dxa"/>
          </w:tcPr>
          <w:p w:rsidR="004E4AF8" w:rsidRDefault="004E4AF8">
            <w:pPr>
              <w:spacing w:line="259" w:lineRule="auto"/>
              <w:jc w:val="center"/>
              <w:rPr>
                <w:color w:val="0F6FC6"/>
              </w:rPr>
            </w:pPr>
          </w:p>
        </w:tc>
        <w:tc>
          <w:tcPr>
            <w:tcW w:w="645" w:type="dxa"/>
          </w:tcPr>
          <w:p w:rsidR="004E4AF8" w:rsidRDefault="004E4AF8">
            <w:pPr>
              <w:spacing w:line="259" w:lineRule="auto"/>
              <w:jc w:val="center"/>
              <w:rPr>
                <w:color w:val="0F6FC6"/>
              </w:rPr>
            </w:pPr>
          </w:p>
        </w:tc>
        <w:tc>
          <w:tcPr>
            <w:tcW w:w="983" w:type="dxa"/>
          </w:tcPr>
          <w:p w:rsidR="004E4AF8" w:rsidRDefault="004E4AF8">
            <w:pPr>
              <w:spacing w:line="259" w:lineRule="auto"/>
              <w:jc w:val="center"/>
              <w:rPr>
                <w:color w:val="0F6FC6"/>
              </w:rPr>
            </w:pPr>
          </w:p>
        </w:tc>
      </w:tr>
      <w:tr w:rsidR="004E4AF8">
        <w:tc>
          <w:tcPr>
            <w:tcW w:w="6091" w:type="dxa"/>
            <w:vMerge/>
            <w:shd w:val="clear" w:color="auto" w:fill="D9D9D9"/>
            <w:vAlign w:val="center"/>
          </w:tcPr>
          <w:p w:rsidR="004E4AF8" w:rsidRDefault="004E4AF8">
            <w:pPr>
              <w:widowControl w:val="0"/>
              <w:pBdr>
                <w:top w:val="nil"/>
                <w:left w:val="nil"/>
                <w:bottom w:val="nil"/>
                <w:right w:val="nil"/>
                <w:between w:val="nil"/>
              </w:pBdr>
              <w:spacing w:line="276" w:lineRule="auto"/>
              <w:jc w:val="left"/>
              <w:rPr>
                <w:color w:val="0F6FC6"/>
              </w:rPr>
            </w:pPr>
          </w:p>
        </w:tc>
        <w:tc>
          <w:tcPr>
            <w:tcW w:w="1280" w:type="dxa"/>
          </w:tcPr>
          <w:p w:rsidR="004E4AF8" w:rsidRDefault="00D62302">
            <w:pPr>
              <w:spacing w:line="259" w:lineRule="auto"/>
              <w:jc w:val="left"/>
            </w:pPr>
            <w:r>
              <w:t>Solução 2</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r w:rsidR="004E4AF8">
        <w:tc>
          <w:tcPr>
            <w:tcW w:w="6091" w:type="dxa"/>
            <w:vMerge/>
            <w:shd w:val="clear" w:color="auto" w:fill="D9D9D9"/>
            <w:vAlign w:val="center"/>
          </w:tcPr>
          <w:p w:rsidR="004E4AF8" w:rsidRDefault="004E4AF8">
            <w:pPr>
              <w:widowControl w:val="0"/>
              <w:pBdr>
                <w:top w:val="nil"/>
                <w:left w:val="nil"/>
                <w:bottom w:val="nil"/>
                <w:right w:val="nil"/>
                <w:between w:val="nil"/>
              </w:pBdr>
              <w:spacing w:line="276" w:lineRule="auto"/>
              <w:jc w:val="left"/>
              <w:rPr>
                <w:color w:val="2191C9"/>
              </w:rPr>
            </w:pPr>
          </w:p>
        </w:tc>
        <w:tc>
          <w:tcPr>
            <w:tcW w:w="1280" w:type="dxa"/>
          </w:tcPr>
          <w:p w:rsidR="004E4AF8" w:rsidRDefault="00D62302">
            <w:pPr>
              <w:spacing w:line="259" w:lineRule="auto"/>
              <w:jc w:val="left"/>
            </w:pPr>
            <w:r>
              <w:t>Solução N</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r w:rsidR="004E4AF8">
        <w:tc>
          <w:tcPr>
            <w:tcW w:w="6091" w:type="dxa"/>
            <w:vMerge w:val="restart"/>
            <w:shd w:val="clear" w:color="auto" w:fill="D9D9D9"/>
            <w:vAlign w:val="center"/>
          </w:tcPr>
          <w:p w:rsidR="004E4AF8" w:rsidRDefault="00D62302">
            <w:pPr>
              <w:spacing w:line="259" w:lineRule="auto"/>
            </w:pPr>
            <w:r>
              <w:t>A Solução é composta por software livre ou software público?</w:t>
            </w:r>
            <w:r>
              <w:br/>
              <w:t>(quando se tratar de software)</w:t>
            </w:r>
          </w:p>
        </w:tc>
        <w:tc>
          <w:tcPr>
            <w:tcW w:w="1280" w:type="dxa"/>
          </w:tcPr>
          <w:p w:rsidR="004E4AF8" w:rsidRDefault="00D62302">
            <w:pPr>
              <w:spacing w:line="259" w:lineRule="auto"/>
              <w:jc w:val="left"/>
            </w:pPr>
            <w:r>
              <w:t>Solução 1</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r w:rsidR="004E4AF8">
        <w:tc>
          <w:tcPr>
            <w:tcW w:w="6091" w:type="dxa"/>
            <w:vMerge/>
            <w:shd w:val="clear" w:color="auto" w:fill="D9D9D9"/>
            <w:vAlign w:val="center"/>
          </w:tcPr>
          <w:p w:rsidR="004E4AF8" w:rsidRDefault="004E4AF8">
            <w:pPr>
              <w:widowControl w:val="0"/>
              <w:pBdr>
                <w:top w:val="nil"/>
                <w:left w:val="nil"/>
                <w:bottom w:val="nil"/>
                <w:right w:val="nil"/>
                <w:between w:val="nil"/>
              </w:pBdr>
              <w:spacing w:line="276" w:lineRule="auto"/>
              <w:jc w:val="left"/>
              <w:rPr>
                <w:color w:val="2191C9"/>
              </w:rPr>
            </w:pPr>
          </w:p>
        </w:tc>
        <w:tc>
          <w:tcPr>
            <w:tcW w:w="1280" w:type="dxa"/>
          </w:tcPr>
          <w:p w:rsidR="004E4AF8" w:rsidRDefault="00D62302">
            <w:pPr>
              <w:spacing w:line="259" w:lineRule="auto"/>
              <w:jc w:val="left"/>
            </w:pPr>
            <w:r>
              <w:t>Solução 2</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r w:rsidR="004E4AF8">
        <w:tc>
          <w:tcPr>
            <w:tcW w:w="6091" w:type="dxa"/>
            <w:vMerge/>
            <w:shd w:val="clear" w:color="auto" w:fill="D9D9D9"/>
            <w:vAlign w:val="center"/>
          </w:tcPr>
          <w:p w:rsidR="004E4AF8" w:rsidRDefault="004E4AF8">
            <w:pPr>
              <w:widowControl w:val="0"/>
              <w:pBdr>
                <w:top w:val="nil"/>
                <w:left w:val="nil"/>
                <w:bottom w:val="nil"/>
                <w:right w:val="nil"/>
                <w:between w:val="nil"/>
              </w:pBdr>
              <w:spacing w:line="276" w:lineRule="auto"/>
              <w:jc w:val="left"/>
              <w:rPr>
                <w:color w:val="2191C9"/>
              </w:rPr>
            </w:pPr>
          </w:p>
        </w:tc>
        <w:tc>
          <w:tcPr>
            <w:tcW w:w="1280" w:type="dxa"/>
          </w:tcPr>
          <w:p w:rsidR="004E4AF8" w:rsidRDefault="00D62302">
            <w:pPr>
              <w:spacing w:line="259" w:lineRule="auto"/>
              <w:jc w:val="left"/>
            </w:pPr>
            <w:r>
              <w:t>Solução N</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r w:rsidR="004E4AF8">
        <w:tc>
          <w:tcPr>
            <w:tcW w:w="6091" w:type="dxa"/>
            <w:vMerge w:val="restart"/>
            <w:shd w:val="clear" w:color="auto" w:fill="D9D9D9"/>
            <w:vAlign w:val="center"/>
          </w:tcPr>
          <w:p w:rsidR="004E4AF8" w:rsidRDefault="00D62302">
            <w:pPr>
              <w:spacing w:line="259" w:lineRule="auto"/>
            </w:pPr>
            <w:r>
              <w:t>A Solução é aderente às políticas, premissas e especificações</w:t>
            </w:r>
            <w:r>
              <w:br/>
              <w:t>técnicas definidas pelos Padrões de governo ePing, eMag, ePWG?</w:t>
            </w:r>
          </w:p>
        </w:tc>
        <w:tc>
          <w:tcPr>
            <w:tcW w:w="1280" w:type="dxa"/>
          </w:tcPr>
          <w:p w:rsidR="004E4AF8" w:rsidRDefault="00D62302">
            <w:pPr>
              <w:spacing w:line="259" w:lineRule="auto"/>
              <w:jc w:val="left"/>
            </w:pPr>
            <w:r>
              <w:t>Solução 1</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r w:rsidR="004E4AF8">
        <w:tc>
          <w:tcPr>
            <w:tcW w:w="6091" w:type="dxa"/>
            <w:vMerge/>
            <w:shd w:val="clear" w:color="auto" w:fill="D9D9D9"/>
            <w:vAlign w:val="center"/>
          </w:tcPr>
          <w:p w:rsidR="004E4AF8" w:rsidRDefault="004E4AF8">
            <w:pPr>
              <w:widowControl w:val="0"/>
              <w:pBdr>
                <w:top w:val="nil"/>
                <w:left w:val="nil"/>
                <w:bottom w:val="nil"/>
                <w:right w:val="nil"/>
                <w:between w:val="nil"/>
              </w:pBdr>
              <w:spacing w:line="276" w:lineRule="auto"/>
              <w:jc w:val="left"/>
              <w:rPr>
                <w:color w:val="2191C9"/>
              </w:rPr>
            </w:pPr>
          </w:p>
        </w:tc>
        <w:tc>
          <w:tcPr>
            <w:tcW w:w="1280" w:type="dxa"/>
          </w:tcPr>
          <w:p w:rsidR="004E4AF8" w:rsidRDefault="00D62302">
            <w:pPr>
              <w:spacing w:line="259" w:lineRule="auto"/>
              <w:jc w:val="left"/>
            </w:pPr>
            <w:r>
              <w:t>Solução 2</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r w:rsidR="004E4AF8">
        <w:tc>
          <w:tcPr>
            <w:tcW w:w="6091" w:type="dxa"/>
            <w:vMerge/>
            <w:shd w:val="clear" w:color="auto" w:fill="D9D9D9"/>
            <w:vAlign w:val="center"/>
          </w:tcPr>
          <w:p w:rsidR="004E4AF8" w:rsidRDefault="004E4AF8">
            <w:pPr>
              <w:widowControl w:val="0"/>
              <w:pBdr>
                <w:top w:val="nil"/>
                <w:left w:val="nil"/>
                <w:bottom w:val="nil"/>
                <w:right w:val="nil"/>
                <w:between w:val="nil"/>
              </w:pBdr>
              <w:spacing w:line="276" w:lineRule="auto"/>
              <w:jc w:val="left"/>
              <w:rPr>
                <w:color w:val="2191C9"/>
              </w:rPr>
            </w:pPr>
          </w:p>
        </w:tc>
        <w:tc>
          <w:tcPr>
            <w:tcW w:w="1280" w:type="dxa"/>
          </w:tcPr>
          <w:p w:rsidR="004E4AF8" w:rsidRDefault="00D62302">
            <w:pPr>
              <w:spacing w:line="259" w:lineRule="auto"/>
              <w:jc w:val="left"/>
            </w:pPr>
            <w:r>
              <w:t>Solução N</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r w:rsidR="004E4AF8">
        <w:tc>
          <w:tcPr>
            <w:tcW w:w="6091" w:type="dxa"/>
            <w:vMerge w:val="restart"/>
            <w:shd w:val="clear" w:color="auto" w:fill="D9D9D9"/>
            <w:vAlign w:val="center"/>
          </w:tcPr>
          <w:p w:rsidR="004E4AF8" w:rsidRDefault="00D62302">
            <w:pPr>
              <w:spacing w:line="259" w:lineRule="auto"/>
            </w:pPr>
            <w:r>
              <w:t>A Solução é aderente às regulamentações da ICP-Brasil?</w:t>
            </w:r>
            <w:r>
              <w:br/>
            </w:r>
            <w:r>
              <w:t>(quando houver necessidade de certificação digital)</w:t>
            </w:r>
          </w:p>
        </w:tc>
        <w:tc>
          <w:tcPr>
            <w:tcW w:w="1280" w:type="dxa"/>
          </w:tcPr>
          <w:p w:rsidR="004E4AF8" w:rsidRDefault="00D62302">
            <w:pPr>
              <w:spacing w:line="259" w:lineRule="auto"/>
              <w:jc w:val="left"/>
            </w:pPr>
            <w:r>
              <w:t>Solução 1</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r w:rsidR="004E4AF8">
        <w:tc>
          <w:tcPr>
            <w:tcW w:w="6091" w:type="dxa"/>
            <w:vMerge/>
            <w:shd w:val="clear" w:color="auto" w:fill="D9D9D9"/>
            <w:vAlign w:val="center"/>
          </w:tcPr>
          <w:p w:rsidR="004E4AF8" w:rsidRDefault="004E4AF8">
            <w:pPr>
              <w:widowControl w:val="0"/>
              <w:pBdr>
                <w:top w:val="nil"/>
                <w:left w:val="nil"/>
                <w:bottom w:val="nil"/>
                <w:right w:val="nil"/>
                <w:between w:val="nil"/>
              </w:pBdr>
              <w:spacing w:line="276" w:lineRule="auto"/>
              <w:jc w:val="left"/>
              <w:rPr>
                <w:color w:val="2191C9"/>
              </w:rPr>
            </w:pPr>
          </w:p>
        </w:tc>
        <w:tc>
          <w:tcPr>
            <w:tcW w:w="1280" w:type="dxa"/>
          </w:tcPr>
          <w:p w:rsidR="004E4AF8" w:rsidRDefault="00D62302">
            <w:pPr>
              <w:spacing w:line="259" w:lineRule="auto"/>
              <w:jc w:val="left"/>
            </w:pPr>
            <w:r>
              <w:t>Solução 2</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r w:rsidR="004E4AF8">
        <w:tc>
          <w:tcPr>
            <w:tcW w:w="6091" w:type="dxa"/>
            <w:vMerge/>
            <w:shd w:val="clear" w:color="auto" w:fill="D9D9D9"/>
            <w:vAlign w:val="center"/>
          </w:tcPr>
          <w:p w:rsidR="004E4AF8" w:rsidRDefault="004E4AF8">
            <w:pPr>
              <w:widowControl w:val="0"/>
              <w:pBdr>
                <w:top w:val="nil"/>
                <w:left w:val="nil"/>
                <w:bottom w:val="nil"/>
                <w:right w:val="nil"/>
                <w:between w:val="nil"/>
              </w:pBdr>
              <w:spacing w:line="276" w:lineRule="auto"/>
              <w:jc w:val="left"/>
              <w:rPr>
                <w:color w:val="2191C9"/>
              </w:rPr>
            </w:pPr>
          </w:p>
        </w:tc>
        <w:tc>
          <w:tcPr>
            <w:tcW w:w="1280" w:type="dxa"/>
          </w:tcPr>
          <w:p w:rsidR="004E4AF8" w:rsidRDefault="00D62302">
            <w:pPr>
              <w:spacing w:line="259" w:lineRule="auto"/>
              <w:jc w:val="left"/>
            </w:pPr>
            <w:r>
              <w:t>Solução N</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r w:rsidR="004E4AF8">
        <w:tc>
          <w:tcPr>
            <w:tcW w:w="6091" w:type="dxa"/>
            <w:vMerge w:val="restart"/>
            <w:shd w:val="clear" w:color="auto" w:fill="D9D9D9"/>
            <w:vAlign w:val="center"/>
          </w:tcPr>
          <w:p w:rsidR="004E4AF8" w:rsidRDefault="00D62302">
            <w:pPr>
              <w:spacing w:line="259" w:lineRule="auto"/>
            </w:pPr>
            <w:r>
              <w:t xml:space="preserve">A Solução é aderente às orientações, premissas e especificações técnicas e funcionais do e-ARQ Brasil? </w:t>
            </w:r>
            <w:r>
              <w:lastRenderedPageBreak/>
              <w:t>(Quando o objetivo da</w:t>
            </w:r>
            <w:r>
              <w:br/>
            </w:r>
            <w:r>
              <w:t>solução abranger documentos arquivísticos)</w:t>
            </w:r>
          </w:p>
        </w:tc>
        <w:tc>
          <w:tcPr>
            <w:tcW w:w="1280" w:type="dxa"/>
          </w:tcPr>
          <w:p w:rsidR="004E4AF8" w:rsidRDefault="00D62302">
            <w:pPr>
              <w:spacing w:line="259" w:lineRule="auto"/>
              <w:jc w:val="left"/>
            </w:pPr>
            <w:r>
              <w:lastRenderedPageBreak/>
              <w:t>Solução 1</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r w:rsidR="004E4AF8">
        <w:tc>
          <w:tcPr>
            <w:tcW w:w="6091" w:type="dxa"/>
            <w:vMerge/>
            <w:shd w:val="clear" w:color="auto" w:fill="D9D9D9"/>
            <w:vAlign w:val="center"/>
          </w:tcPr>
          <w:p w:rsidR="004E4AF8" w:rsidRDefault="004E4AF8">
            <w:pPr>
              <w:widowControl w:val="0"/>
              <w:pBdr>
                <w:top w:val="nil"/>
                <w:left w:val="nil"/>
                <w:bottom w:val="nil"/>
                <w:right w:val="nil"/>
                <w:between w:val="nil"/>
              </w:pBdr>
              <w:spacing w:line="276" w:lineRule="auto"/>
              <w:jc w:val="left"/>
              <w:rPr>
                <w:color w:val="2191C9"/>
              </w:rPr>
            </w:pPr>
          </w:p>
        </w:tc>
        <w:tc>
          <w:tcPr>
            <w:tcW w:w="1280" w:type="dxa"/>
          </w:tcPr>
          <w:p w:rsidR="004E4AF8" w:rsidRDefault="00D62302">
            <w:pPr>
              <w:spacing w:line="259" w:lineRule="auto"/>
              <w:jc w:val="left"/>
            </w:pPr>
            <w:r>
              <w:t>Solução 2</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r w:rsidR="004E4AF8">
        <w:tc>
          <w:tcPr>
            <w:tcW w:w="6091" w:type="dxa"/>
            <w:vMerge/>
            <w:shd w:val="clear" w:color="auto" w:fill="D9D9D9"/>
            <w:vAlign w:val="center"/>
          </w:tcPr>
          <w:p w:rsidR="004E4AF8" w:rsidRDefault="004E4AF8">
            <w:pPr>
              <w:widowControl w:val="0"/>
              <w:pBdr>
                <w:top w:val="nil"/>
                <w:left w:val="nil"/>
                <w:bottom w:val="nil"/>
                <w:right w:val="nil"/>
                <w:between w:val="nil"/>
              </w:pBdr>
              <w:spacing w:line="276" w:lineRule="auto"/>
              <w:jc w:val="left"/>
              <w:rPr>
                <w:color w:val="2191C9"/>
              </w:rPr>
            </w:pPr>
          </w:p>
        </w:tc>
        <w:tc>
          <w:tcPr>
            <w:tcW w:w="1280" w:type="dxa"/>
          </w:tcPr>
          <w:p w:rsidR="004E4AF8" w:rsidRDefault="00D62302">
            <w:pPr>
              <w:spacing w:line="259" w:lineRule="auto"/>
              <w:jc w:val="left"/>
            </w:pPr>
            <w:r>
              <w:t>Solução N</w:t>
            </w:r>
          </w:p>
        </w:tc>
        <w:tc>
          <w:tcPr>
            <w:tcW w:w="629" w:type="dxa"/>
          </w:tcPr>
          <w:p w:rsidR="004E4AF8" w:rsidRDefault="004E4AF8">
            <w:pPr>
              <w:spacing w:line="259" w:lineRule="auto"/>
              <w:jc w:val="center"/>
              <w:rPr>
                <w:color w:val="2191C9"/>
              </w:rPr>
            </w:pPr>
          </w:p>
        </w:tc>
        <w:tc>
          <w:tcPr>
            <w:tcW w:w="645" w:type="dxa"/>
          </w:tcPr>
          <w:p w:rsidR="004E4AF8" w:rsidRDefault="004E4AF8">
            <w:pPr>
              <w:spacing w:line="259" w:lineRule="auto"/>
              <w:jc w:val="center"/>
              <w:rPr>
                <w:color w:val="2191C9"/>
              </w:rPr>
            </w:pPr>
          </w:p>
        </w:tc>
        <w:tc>
          <w:tcPr>
            <w:tcW w:w="983" w:type="dxa"/>
          </w:tcPr>
          <w:p w:rsidR="004E4AF8" w:rsidRDefault="004E4AF8">
            <w:pPr>
              <w:spacing w:line="259" w:lineRule="auto"/>
              <w:jc w:val="center"/>
              <w:rPr>
                <w:color w:val="2191C9"/>
              </w:rPr>
            </w:pPr>
          </w:p>
        </w:tc>
      </w:tr>
    </w:tbl>
    <w:p w:rsidR="004E4AF8" w:rsidRDefault="004E4AF8">
      <w:pPr>
        <w:spacing w:after="0" w:line="240" w:lineRule="auto"/>
        <w:jc w:val="left"/>
      </w:pPr>
    </w:p>
    <w:tbl>
      <w:tblPr>
        <w:tblStyle w:val="afffffffffffffffffc"/>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555"/>
        <w:gridCol w:w="9073"/>
      </w:tblGrid>
      <w:tr w:rsidR="004E4AF8">
        <w:tc>
          <w:tcPr>
            <w:tcW w:w="9628" w:type="dxa"/>
            <w:gridSpan w:val="2"/>
            <w:shd w:val="clear" w:color="auto" w:fill="BFBFBF"/>
          </w:tcPr>
          <w:p w:rsidR="004E4AF8" w:rsidRDefault="00D62302">
            <w:pPr>
              <w:spacing w:line="259" w:lineRule="auto"/>
              <w:rPr>
                <w:b/>
              </w:rPr>
            </w:pPr>
            <w:r>
              <w:rPr>
                <w:b/>
              </w:rPr>
              <w:t>3.3 – PESQUISA DE PREÇOS DE MERCADO</w:t>
            </w:r>
          </w:p>
        </w:tc>
      </w:tr>
      <w:tr w:rsidR="004E4AF8">
        <w:trPr>
          <w:trHeight w:val="419"/>
        </w:trPr>
        <w:tc>
          <w:tcPr>
            <w:tcW w:w="555" w:type="dxa"/>
            <w:shd w:val="clear" w:color="auto" w:fill="F2F2F2"/>
            <w:vAlign w:val="center"/>
          </w:tcPr>
          <w:p w:rsidR="004E4AF8" w:rsidRDefault="00D62302">
            <w:pPr>
              <w:spacing w:line="259" w:lineRule="auto"/>
              <w:jc w:val="center"/>
              <w:rPr>
                <w:b/>
              </w:rPr>
            </w:pPr>
            <w:r>
              <w:rPr>
                <w:b/>
              </w:rPr>
              <w:t>Id</w:t>
            </w:r>
          </w:p>
        </w:tc>
        <w:tc>
          <w:tcPr>
            <w:tcW w:w="9073" w:type="dxa"/>
            <w:shd w:val="clear" w:color="auto" w:fill="F2F2F2"/>
            <w:vAlign w:val="center"/>
          </w:tcPr>
          <w:p w:rsidR="004E4AF8" w:rsidRDefault="00D62302">
            <w:pPr>
              <w:spacing w:line="259" w:lineRule="auto"/>
              <w:jc w:val="center"/>
              <w:rPr>
                <w:b/>
              </w:rPr>
            </w:pPr>
            <w:r>
              <w:rPr>
                <w:b/>
              </w:rPr>
              <w:t>Descrição da solução (ou cenário)</w:t>
            </w:r>
          </w:p>
        </w:tc>
      </w:tr>
      <w:tr w:rsidR="004E4AF8">
        <w:trPr>
          <w:trHeight w:val="419"/>
        </w:trPr>
        <w:tc>
          <w:tcPr>
            <w:tcW w:w="555" w:type="dxa"/>
            <w:vAlign w:val="center"/>
          </w:tcPr>
          <w:p w:rsidR="004E4AF8" w:rsidRDefault="00D62302">
            <w:pPr>
              <w:spacing w:line="259" w:lineRule="auto"/>
              <w:jc w:val="center"/>
              <w:rPr>
                <w:b/>
                <w:color w:val="0F6FC6"/>
              </w:rPr>
            </w:pPr>
            <w:r>
              <w:rPr>
                <w:b/>
                <w:color w:val="0F6FC6"/>
              </w:rPr>
              <w:t>1</w:t>
            </w:r>
          </w:p>
        </w:tc>
        <w:tc>
          <w:tcPr>
            <w:tcW w:w="9073" w:type="dxa"/>
            <w:vAlign w:val="center"/>
          </w:tcPr>
          <w:p w:rsidR="004E4AF8" w:rsidRDefault="00D62302">
            <w:pPr>
              <w:spacing w:line="259" w:lineRule="auto"/>
            </w:pPr>
            <w:r>
              <w:t>&lt;</w:t>
            </w:r>
            <w:r>
              <w:rPr>
                <w:color w:val="0F6FC6"/>
              </w:rPr>
              <w:t>Descrição da SOLUÇÃO 1</w:t>
            </w:r>
            <w:r>
              <w:t>&gt;</w:t>
            </w:r>
          </w:p>
        </w:tc>
      </w:tr>
      <w:tr w:rsidR="004E4AF8">
        <w:trPr>
          <w:trHeight w:val="419"/>
        </w:trPr>
        <w:tc>
          <w:tcPr>
            <w:tcW w:w="555" w:type="dxa"/>
            <w:vAlign w:val="center"/>
          </w:tcPr>
          <w:p w:rsidR="004E4AF8" w:rsidRDefault="00D62302">
            <w:pPr>
              <w:spacing w:line="259" w:lineRule="auto"/>
              <w:jc w:val="center"/>
              <w:rPr>
                <w:b/>
                <w:color w:val="0F6FC6"/>
              </w:rPr>
            </w:pPr>
            <w:r>
              <w:rPr>
                <w:b/>
                <w:color w:val="0F6FC6"/>
              </w:rPr>
              <w:t>...</w:t>
            </w:r>
          </w:p>
        </w:tc>
        <w:tc>
          <w:tcPr>
            <w:tcW w:w="9073" w:type="dxa"/>
            <w:vAlign w:val="center"/>
          </w:tcPr>
          <w:p w:rsidR="004E4AF8" w:rsidRDefault="004E4AF8">
            <w:pPr>
              <w:spacing w:line="259" w:lineRule="auto"/>
            </w:pPr>
          </w:p>
        </w:tc>
      </w:tr>
      <w:tr w:rsidR="004E4AF8">
        <w:trPr>
          <w:trHeight w:val="419"/>
        </w:trPr>
        <w:tc>
          <w:tcPr>
            <w:tcW w:w="555" w:type="dxa"/>
            <w:vAlign w:val="center"/>
          </w:tcPr>
          <w:p w:rsidR="004E4AF8" w:rsidRDefault="00D62302">
            <w:pPr>
              <w:spacing w:line="259" w:lineRule="auto"/>
              <w:jc w:val="center"/>
              <w:rPr>
                <w:b/>
                <w:color w:val="0F6FC6"/>
              </w:rPr>
            </w:pPr>
            <w:r>
              <w:rPr>
                <w:b/>
                <w:color w:val="0F6FC6"/>
              </w:rPr>
              <w:t>N</w:t>
            </w:r>
          </w:p>
        </w:tc>
        <w:tc>
          <w:tcPr>
            <w:tcW w:w="9073" w:type="dxa"/>
            <w:vAlign w:val="center"/>
          </w:tcPr>
          <w:p w:rsidR="004E4AF8" w:rsidRDefault="00D62302">
            <w:pPr>
              <w:spacing w:line="259" w:lineRule="auto"/>
            </w:pPr>
            <w:r>
              <w:t>&lt;</w:t>
            </w:r>
            <w:r>
              <w:rPr>
                <w:color w:val="0F6FC6"/>
              </w:rPr>
              <w:t>Descrição da SOLUÇÃO N</w:t>
            </w:r>
            <w:r>
              <w:t>&gt;</w:t>
            </w:r>
          </w:p>
        </w:tc>
      </w:tr>
    </w:tbl>
    <w:p w:rsidR="004E4AF8" w:rsidRDefault="004E4AF8">
      <w:pPr>
        <w:spacing w:line="259" w:lineRule="auto"/>
        <w:jc w:val="left"/>
      </w:pPr>
    </w:p>
    <w:p w:rsidR="004E4AF8" w:rsidRDefault="00D62302">
      <w:pPr>
        <w:spacing w:line="259" w:lineRule="auto"/>
        <w:jc w:val="left"/>
      </w:pPr>
      <w:r>
        <w:t>Observações:</w:t>
      </w:r>
    </w:p>
    <w:p w:rsidR="004E4AF8" w:rsidRDefault="00D62302">
      <w:pPr>
        <w:numPr>
          <w:ilvl w:val="0"/>
          <w:numId w:val="1"/>
        </w:numPr>
        <w:pBdr>
          <w:top w:val="nil"/>
          <w:left w:val="nil"/>
          <w:bottom w:val="nil"/>
          <w:right w:val="nil"/>
          <w:between w:val="nil"/>
        </w:pBdr>
        <w:spacing w:after="0" w:line="259" w:lineRule="auto"/>
      </w:pPr>
      <w:r>
        <w:rPr>
          <w:color w:val="000000"/>
        </w:rPr>
        <w:t>Recomenda-se atenção com impropriedades no método de estimativa de preço:</w:t>
      </w:r>
    </w:p>
    <w:p w:rsidR="004E4AF8" w:rsidRDefault="00D62302">
      <w:pPr>
        <w:numPr>
          <w:ilvl w:val="1"/>
          <w:numId w:val="1"/>
        </w:numPr>
        <w:pBdr>
          <w:top w:val="nil"/>
          <w:left w:val="nil"/>
          <w:bottom w:val="nil"/>
          <w:right w:val="nil"/>
          <w:between w:val="nil"/>
        </w:pBdr>
        <w:spacing w:after="0" w:line="259" w:lineRule="auto"/>
      </w:pPr>
      <w:r>
        <w:rPr>
          <w:color w:val="000000"/>
        </w:rPr>
        <w:t>Realizar pesquisas diretas com fornecedores ou em seus catálogos, valores adjudicados em licitações de órgãos públicos, sistemas de compras (Comprasnet), valores registrados em atas de SRP, avaliação de contratos recentes ou vigentes, compras e contrataçõe</w:t>
      </w:r>
      <w:r>
        <w:rPr>
          <w:color w:val="000000"/>
        </w:rPr>
        <w:t>s realizadas por corporações privadas em condições idênticas ou semelhantes;</w:t>
      </w:r>
    </w:p>
    <w:p w:rsidR="004E4AF8" w:rsidRDefault="00D62302">
      <w:pPr>
        <w:numPr>
          <w:ilvl w:val="1"/>
          <w:numId w:val="1"/>
        </w:numPr>
        <w:pBdr>
          <w:top w:val="nil"/>
          <w:left w:val="nil"/>
          <w:bottom w:val="nil"/>
          <w:right w:val="nil"/>
          <w:between w:val="nil"/>
        </w:pBdr>
        <w:spacing w:after="0" w:line="259" w:lineRule="auto"/>
      </w:pPr>
      <w:r>
        <w:rPr>
          <w:color w:val="000000"/>
        </w:rPr>
        <w:t>O gestor deve consultar diversas fontes ao realizar a pesquisa de preços, preferencialmente as realizadas pela própria administração pública e, somente recorrer às cotações com fo</w:t>
      </w:r>
      <w:r>
        <w:rPr>
          <w:color w:val="000000"/>
        </w:rPr>
        <w:t>rnecedores em casos excepcionais quando o uso de contratações públicas não for possível;</w:t>
      </w:r>
    </w:p>
    <w:p w:rsidR="004E4AF8" w:rsidRDefault="00D62302">
      <w:pPr>
        <w:numPr>
          <w:ilvl w:val="1"/>
          <w:numId w:val="1"/>
        </w:numPr>
        <w:pBdr>
          <w:top w:val="nil"/>
          <w:left w:val="nil"/>
          <w:bottom w:val="nil"/>
          <w:right w:val="nil"/>
          <w:between w:val="nil"/>
        </w:pBdr>
        <w:spacing w:after="0" w:line="259" w:lineRule="auto"/>
      </w:pPr>
      <w:r>
        <w:rPr>
          <w:color w:val="000000"/>
        </w:rPr>
        <w:t>Recomendar cautelas a serem adotadas no planejamento de contratações de empresas de modo a não restringir a pesquisa de preços às cotações realizadas junto a potenciai</w:t>
      </w:r>
      <w:r>
        <w:rPr>
          <w:color w:val="000000"/>
        </w:rPr>
        <w:t>s fornecedores, adotando também outras fontes como parâmetro, principalmente as contratações similares realizadas por outros órgãos ou entidades públicas. (</w:t>
      </w:r>
      <w:r>
        <w:rPr>
          <w:i/>
          <w:color w:val="000000"/>
        </w:rPr>
        <w:t>Acórdão 2.816/2014-TCU-Plenário, da relatoria do Ministro José Múcio Monteiro</w:t>
      </w:r>
      <w:r>
        <w:rPr>
          <w:color w:val="000000"/>
        </w:rPr>
        <w:t>);</w:t>
      </w:r>
    </w:p>
    <w:p w:rsidR="004E4AF8" w:rsidRDefault="00D62302">
      <w:pPr>
        <w:numPr>
          <w:ilvl w:val="1"/>
          <w:numId w:val="1"/>
        </w:numPr>
        <w:pBdr>
          <w:top w:val="nil"/>
          <w:left w:val="nil"/>
          <w:bottom w:val="nil"/>
          <w:right w:val="nil"/>
          <w:between w:val="nil"/>
        </w:pBdr>
        <w:spacing w:after="0" w:line="259" w:lineRule="auto"/>
      </w:pPr>
      <w:r>
        <w:rPr>
          <w:color w:val="000000"/>
        </w:rPr>
        <w:t>Deve-se utilizar uma</w:t>
      </w:r>
      <w:r>
        <w:rPr>
          <w:color w:val="000000"/>
        </w:rPr>
        <w:t xml:space="preserve"> 'cesta de preços aceitáveis' para estimativa do orçamento, sendo inadequada a sua elaboração com base apenas em consultas a potenciais fornecedores, deve garantir que os valores obtidos reflitam os preços praticados no mercado. (</w:t>
      </w:r>
      <w:r>
        <w:rPr>
          <w:i/>
          <w:color w:val="000000"/>
        </w:rPr>
        <w:t>Acórdão 488/2019-TCU-Plená</w:t>
      </w:r>
      <w:r>
        <w:rPr>
          <w:i/>
          <w:color w:val="000000"/>
        </w:rPr>
        <w:t>rio, da relatoria da Ministra Ana Arraes</w:t>
      </w:r>
      <w:r>
        <w:rPr>
          <w:color w:val="000000"/>
        </w:rPr>
        <w:t>);</w:t>
      </w:r>
    </w:p>
    <w:p w:rsidR="004E4AF8" w:rsidRDefault="00D62302">
      <w:pPr>
        <w:numPr>
          <w:ilvl w:val="1"/>
          <w:numId w:val="1"/>
        </w:numPr>
        <w:pBdr>
          <w:top w:val="nil"/>
          <w:left w:val="nil"/>
          <w:bottom w:val="nil"/>
          <w:right w:val="nil"/>
          <w:between w:val="nil"/>
        </w:pBdr>
        <w:spacing w:after="0" w:line="259" w:lineRule="auto"/>
      </w:pPr>
      <w:r>
        <w:rPr>
          <w:color w:val="000000"/>
        </w:rPr>
        <w:t>Preço aceitável é aquele que não representa claro viés em relação ao contexto do mercado, ou seja, abaixo do limite inferior ou acima do maior valor constante da faixa identificada para o produto (ou serviço). Tal consideração leva à conclusão de que as es</w:t>
      </w:r>
      <w:r>
        <w:rPr>
          <w:color w:val="000000"/>
        </w:rPr>
        <w:t xml:space="preserve">timativas de preços prévias às licitações, os valores a serem aceitos pelos gestores antes da adjudicação dos objetos dos certames licitatórios, bem como na contratação e posteriores alterações, por meio de aditivos, e mesmo os parâmetros utilizados pelos </w:t>
      </w:r>
      <w:r>
        <w:rPr>
          <w:color w:val="000000"/>
        </w:rPr>
        <w:t>órgãos de controle para caracterizar sobrepreço ou superfaturamento em contratações da área de TI devem estar baseados em uma ‘cesta de preços aceitáveis’ (</w:t>
      </w:r>
      <w:r>
        <w:rPr>
          <w:i/>
          <w:color w:val="000000"/>
        </w:rPr>
        <w:t>Acórdão 2.170/2007 Plenário</w:t>
      </w:r>
      <w:r>
        <w:rPr>
          <w:color w:val="000000"/>
        </w:rPr>
        <w:t>);</w:t>
      </w:r>
    </w:p>
    <w:p w:rsidR="004E4AF8" w:rsidRDefault="00D62302">
      <w:pPr>
        <w:numPr>
          <w:ilvl w:val="1"/>
          <w:numId w:val="1"/>
        </w:numPr>
        <w:pBdr>
          <w:top w:val="nil"/>
          <w:left w:val="nil"/>
          <w:bottom w:val="nil"/>
          <w:right w:val="nil"/>
          <w:between w:val="nil"/>
        </w:pBdr>
        <w:spacing w:after="0" w:line="259" w:lineRule="auto"/>
      </w:pPr>
      <w:r>
        <w:rPr>
          <w:color w:val="000000"/>
        </w:rPr>
        <w:lastRenderedPageBreak/>
        <w:t>Preços notoriamente díspares (acima ou abaixo do razoável) podem ser d</w:t>
      </w:r>
      <w:r>
        <w:rPr>
          <w:color w:val="000000"/>
        </w:rPr>
        <w:t>escartados da pesquisa desde que a análise que ensejou o descarte esteja devidamente apresentada nos autos (</w:t>
      </w:r>
      <w:r>
        <w:rPr>
          <w:i/>
          <w:color w:val="000000"/>
        </w:rPr>
        <w:t>Acórdão TCU nº 2.170/2007 – Plenário</w:t>
      </w:r>
      <w:r>
        <w:rPr>
          <w:color w:val="000000"/>
        </w:rPr>
        <w:t>);</w:t>
      </w:r>
    </w:p>
    <w:p w:rsidR="004E4AF8" w:rsidRDefault="00D62302">
      <w:pPr>
        <w:numPr>
          <w:ilvl w:val="1"/>
          <w:numId w:val="1"/>
        </w:numPr>
        <w:pBdr>
          <w:top w:val="nil"/>
          <w:left w:val="nil"/>
          <w:bottom w:val="nil"/>
          <w:right w:val="nil"/>
          <w:between w:val="nil"/>
        </w:pBdr>
        <w:spacing w:after="0" w:line="259" w:lineRule="auto"/>
      </w:pPr>
      <w:r>
        <w:rPr>
          <w:color w:val="000000"/>
        </w:rPr>
        <w:t>Não é admissível que a pesquisa de preços de mercado feita pela entidade seja destituída de juízo crítico ace</w:t>
      </w:r>
      <w:r>
        <w:rPr>
          <w:color w:val="000000"/>
        </w:rPr>
        <w:t>rca da consistência dos valores levantados, máxime quando observados indícios de preços destoantes dos praticados no mercado (</w:t>
      </w:r>
      <w:r>
        <w:rPr>
          <w:i/>
          <w:color w:val="000000"/>
        </w:rPr>
        <w:t>Acórdão 1108/2007 Plenário</w:t>
      </w:r>
      <w:r>
        <w:rPr>
          <w:color w:val="000000"/>
        </w:rPr>
        <w:t>);</w:t>
      </w:r>
    </w:p>
    <w:p w:rsidR="004E4AF8" w:rsidRDefault="00D62302">
      <w:pPr>
        <w:numPr>
          <w:ilvl w:val="1"/>
          <w:numId w:val="1"/>
        </w:numPr>
        <w:pBdr>
          <w:top w:val="nil"/>
          <w:left w:val="nil"/>
          <w:bottom w:val="nil"/>
          <w:right w:val="nil"/>
          <w:between w:val="nil"/>
        </w:pBdr>
        <w:spacing w:after="0" w:line="259" w:lineRule="auto"/>
      </w:pPr>
      <w:r>
        <w:rPr>
          <w:color w:val="000000"/>
        </w:rPr>
        <w:t>Orienta a equipe de planejamento sobre a viabilidade e a relação custo-benefício da contratação, além</w:t>
      </w:r>
      <w:r>
        <w:rPr>
          <w:color w:val="000000"/>
        </w:rPr>
        <w:t xml:space="preserve"> de prevenir sobrepreços em itens de planilhas de custos e impedir a contratação acima do preço de mercado;</w:t>
      </w:r>
    </w:p>
    <w:p w:rsidR="004E4AF8" w:rsidRDefault="00D62302">
      <w:pPr>
        <w:numPr>
          <w:ilvl w:val="1"/>
          <w:numId w:val="1"/>
        </w:numPr>
        <w:pBdr>
          <w:top w:val="nil"/>
          <w:left w:val="nil"/>
          <w:bottom w:val="nil"/>
          <w:right w:val="nil"/>
          <w:between w:val="nil"/>
        </w:pBdr>
        <w:spacing w:after="0" w:line="259" w:lineRule="auto"/>
      </w:pPr>
      <w:r>
        <w:rPr>
          <w:color w:val="000000"/>
        </w:rPr>
        <w:t>Deve guardar relação com a materialidade da contratação e a equipe de planejamento deve fazer juízo de valor com base nos dados colhidos, de modo qu</w:t>
      </w:r>
      <w:r>
        <w:rPr>
          <w:color w:val="000000"/>
        </w:rPr>
        <w:t>e seja possível identificar eventuais inconsistências e fazer os devidos ajustes das cotações quando recebidas com manifesta diferença com os preços praticados no mercado, a fim de aferir a vantajosidade real da contratação, em atenção ao princípio da econ</w:t>
      </w:r>
      <w:r>
        <w:rPr>
          <w:color w:val="000000"/>
        </w:rPr>
        <w:t>omicidade. Devem ser feitas avaliações críticas a partir dos preços obtidos, principalmente diante de grande variação entre os valores apresentados. Deve-se dar atenção com sobrepreço no valor mesmo que seja de somente um dos itens;</w:t>
      </w:r>
    </w:p>
    <w:p w:rsidR="004E4AF8" w:rsidRDefault="00D62302">
      <w:pPr>
        <w:numPr>
          <w:ilvl w:val="1"/>
          <w:numId w:val="1"/>
        </w:numPr>
        <w:pBdr>
          <w:top w:val="nil"/>
          <w:left w:val="nil"/>
          <w:bottom w:val="nil"/>
          <w:right w:val="nil"/>
          <w:between w:val="nil"/>
        </w:pBdr>
        <w:spacing w:after="0" w:line="259" w:lineRule="auto"/>
      </w:pPr>
      <w:r>
        <w:rPr>
          <w:color w:val="000000"/>
        </w:rPr>
        <w:t>Vale destacar que a Súm</w:t>
      </w:r>
      <w:r>
        <w:rPr>
          <w:color w:val="000000"/>
        </w:rPr>
        <w:t>ula 259 do TCU determinam que o edital da licitação deve incluir cláusula estabelecendo critérios objetivos de aceitabilidade dos preços unitários e a definição de seus valores máximos, ou seja, a pesquisa de preços demanda uma análise crítica a fim de mit</w:t>
      </w:r>
      <w:r>
        <w:rPr>
          <w:color w:val="000000"/>
        </w:rPr>
        <w:t>igar riscos, a exemplo do 'jogo de planilha';</w:t>
      </w:r>
    </w:p>
    <w:p w:rsidR="004E4AF8" w:rsidRDefault="00D62302">
      <w:pPr>
        <w:numPr>
          <w:ilvl w:val="1"/>
          <w:numId w:val="1"/>
        </w:numPr>
        <w:pBdr>
          <w:top w:val="nil"/>
          <w:left w:val="nil"/>
          <w:bottom w:val="nil"/>
          <w:right w:val="nil"/>
          <w:between w:val="nil"/>
        </w:pBdr>
        <w:spacing w:after="0" w:line="259" w:lineRule="auto"/>
      </w:pPr>
      <w:r>
        <w:rPr>
          <w:color w:val="000000"/>
        </w:rPr>
        <w:t>Recomenda-se para as contratações de software a explicitação dos parâmetros utilizados para calcular os preços dos produtos e serviços nos orçamentos estimados, nas propostas de preço dos revendedores/fabricant</w:t>
      </w:r>
      <w:r>
        <w:rPr>
          <w:color w:val="000000"/>
        </w:rPr>
        <w:t>es e nos contratos celebrados, incluindo os percentuais usados nos cálculos dos serviços agregados e o custo de revenda, com base na Lei 10.520/2002, art. 3º, inciso III (</w:t>
      </w:r>
      <w:r>
        <w:rPr>
          <w:i/>
          <w:color w:val="000000"/>
        </w:rPr>
        <w:t>Acórdão 2.569/2018 Plenário</w:t>
      </w:r>
      <w:r>
        <w:rPr>
          <w:color w:val="000000"/>
        </w:rPr>
        <w:t>);</w:t>
      </w:r>
    </w:p>
    <w:p w:rsidR="004E4AF8" w:rsidRDefault="00D62302">
      <w:pPr>
        <w:numPr>
          <w:ilvl w:val="1"/>
          <w:numId w:val="1"/>
        </w:numPr>
        <w:pBdr>
          <w:top w:val="nil"/>
          <w:left w:val="nil"/>
          <w:bottom w:val="nil"/>
          <w:right w:val="nil"/>
          <w:between w:val="nil"/>
        </w:pBdr>
        <w:spacing w:line="259" w:lineRule="auto"/>
      </w:pPr>
      <w:r>
        <w:rPr>
          <w:color w:val="000000"/>
        </w:rPr>
        <w:t>Orienta-se para as contratações de software às organiza</w:t>
      </w:r>
      <w:r>
        <w:rPr>
          <w:color w:val="000000"/>
        </w:rPr>
        <w:t>ções sob sua supervisão a respeito dos riscos da solicitação de cotações de preços, indicando que, caso seja estritamente necessário obter preços de referência mediante cotações em face da ausência de outras fontes de preços, como contratações similares, s</w:t>
      </w:r>
      <w:r>
        <w:rPr>
          <w:color w:val="000000"/>
        </w:rPr>
        <w:t>olicite-se preços diretamente aos grandes fabricantes, de modo a aumentar a chance de obter um preço de referência minimamente confiável no âmbito da pesquisa de preços prevista; Lei 10.520/2002, art. 3º (</w:t>
      </w:r>
      <w:r>
        <w:rPr>
          <w:i/>
          <w:color w:val="000000"/>
        </w:rPr>
        <w:t>Acórdão 2.569/2018 Plenário</w:t>
      </w:r>
      <w:r>
        <w:rPr>
          <w:color w:val="000000"/>
        </w:rPr>
        <w:t>).</w:t>
      </w:r>
    </w:p>
    <w:tbl>
      <w:tblPr>
        <w:tblStyle w:val="afffffffffffffffffd"/>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rPr>
                <w:b/>
              </w:rPr>
            </w:pPr>
            <w:r>
              <w:rPr>
                <w:b/>
              </w:rPr>
              <w:t>4 – REGISTRO DE SOLUÇ</w:t>
            </w:r>
            <w:r>
              <w:rPr>
                <w:b/>
              </w:rPr>
              <w:t>ÕES CONSIDERADAS INVIÁVEIS</w:t>
            </w:r>
          </w:p>
        </w:tc>
      </w:tr>
      <w:tr w:rsidR="004E4AF8">
        <w:trPr>
          <w:trHeight w:val="375"/>
        </w:trPr>
        <w:tc>
          <w:tcPr>
            <w:tcW w:w="9628" w:type="dxa"/>
            <w:shd w:val="clear" w:color="auto" w:fill="FFFFFF"/>
          </w:tcPr>
          <w:p w:rsidR="004E4AF8" w:rsidRDefault="004E4AF8">
            <w:pPr>
              <w:spacing w:line="259" w:lineRule="auto"/>
            </w:pPr>
          </w:p>
          <w:p w:rsidR="004E4AF8" w:rsidRDefault="00D62302">
            <w:pPr>
              <w:spacing w:line="259" w:lineRule="auto"/>
              <w:rPr>
                <w:color w:val="2191C9"/>
              </w:rPr>
            </w:pPr>
            <w:r>
              <w:t>&lt;</w:t>
            </w:r>
            <w:r>
              <w:rPr>
                <w:color w:val="0F6FC6"/>
              </w:rPr>
              <w:t xml:space="preserve">Conforme § Xº do art. XX da Resolução CNJ nº XXX de XXX de XXXX, as soluções identificadas e consideradas inviáveis deverão ser registradas no Estudo Técnico Preliminar (breve </w:t>
            </w:r>
            <w:r>
              <w:rPr>
                <w:color w:val="0F6FC6"/>
              </w:rPr>
              <w:lastRenderedPageBreak/>
              <w:t>descrição e justificativa), dispensando-se a realização dos respectivos cálculos</w:t>
            </w:r>
            <w:r>
              <w:rPr>
                <w:color w:val="0F6FC6"/>
              </w:rPr>
              <w:t xml:space="preserve"> de custo total de propriedade</w:t>
            </w:r>
            <w:r>
              <w:t>&gt;.</w:t>
            </w:r>
          </w:p>
          <w:p w:rsidR="004E4AF8" w:rsidRDefault="004E4AF8">
            <w:pPr>
              <w:spacing w:line="259" w:lineRule="auto"/>
              <w:rPr>
                <w:b/>
              </w:rPr>
            </w:pPr>
          </w:p>
        </w:tc>
      </w:tr>
    </w:tbl>
    <w:p w:rsidR="004E4AF8" w:rsidRDefault="004E4AF8">
      <w:pPr>
        <w:spacing w:after="0" w:line="240" w:lineRule="auto"/>
        <w:jc w:val="left"/>
      </w:pPr>
    </w:p>
    <w:tbl>
      <w:tblPr>
        <w:tblStyle w:val="afffffffffffffffffe"/>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rPr>
                <w:b/>
              </w:rPr>
            </w:pPr>
            <w:r>
              <w:rPr>
                <w:b/>
              </w:rPr>
              <w:t>5 – ANÁLISE COMPARATIVA DE CUSTOS (TCO)</w:t>
            </w:r>
          </w:p>
        </w:tc>
      </w:tr>
      <w:tr w:rsidR="004E4AF8">
        <w:trPr>
          <w:trHeight w:val="375"/>
        </w:trPr>
        <w:tc>
          <w:tcPr>
            <w:tcW w:w="9628" w:type="dxa"/>
            <w:shd w:val="clear" w:color="auto" w:fill="FFFFFF"/>
          </w:tcPr>
          <w:p w:rsidR="004E4AF8" w:rsidRDefault="004E4AF8">
            <w:pPr>
              <w:spacing w:line="259" w:lineRule="auto"/>
            </w:pPr>
          </w:p>
          <w:p w:rsidR="004E4AF8" w:rsidRDefault="00D62302">
            <w:pPr>
              <w:spacing w:line="259" w:lineRule="auto"/>
              <w:rPr>
                <w:color w:val="2191C9"/>
              </w:rPr>
            </w:pPr>
            <w:r>
              <w:t>&lt;</w:t>
            </w:r>
            <w:r>
              <w:rPr>
                <w:color w:val="0F6FC6"/>
              </w:rPr>
              <w:t>Conforme inciso XX do art. XX da Resolução CNJ nº XXX de XXX de XXXX, deve-se proceder a comparação de custos totais de propriedade para as soluções técnica e funcionalmente viáveis</w:t>
            </w:r>
            <w:r>
              <w:t>&gt;.</w:t>
            </w:r>
          </w:p>
          <w:p w:rsidR="004E4AF8" w:rsidRDefault="004E4AF8">
            <w:pPr>
              <w:spacing w:line="259" w:lineRule="auto"/>
              <w:rPr>
                <w:b/>
              </w:rPr>
            </w:pPr>
          </w:p>
        </w:tc>
      </w:tr>
    </w:tbl>
    <w:p w:rsidR="004E4AF8" w:rsidRDefault="004E4AF8">
      <w:pPr>
        <w:spacing w:line="259" w:lineRule="auto"/>
        <w:jc w:val="left"/>
      </w:pPr>
    </w:p>
    <w:p w:rsidR="004E4AF8" w:rsidRDefault="004E4AF8">
      <w:pPr>
        <w:spacing w:line="259" w:lineRule="auto"/>
        <w:jc w:val="left"/>
      </w:pPr>
    </w:p>
    <w:p w:rsidR="004E4AF8" w:rsidRDefault="004E4AF8">
      <w:pPr>
        <w:spacing w:line="259" w:lineRule="auto"/>
        <w:jc w:val="left"/>
      </w:pPr>
    </w:p>
    <w:tbl>
      <w:tblPr>
        <w:tblStyle w:val="affffffffffffffffff"/>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tcBorders>
              <w:bottom w:val="single" w:sz="4" w:space="0" w:color="000000"/>
            </w:tcBorders>
            <w:shd w:val="clear" w:color="auto" w:fill="BFBFBF"/>
          </w:tcPr>
          <w:p w:rsidR="004E4AF8" w:rsidRDefault="00D62302">
            <w:pPr>
              <w:spacing w:line="259" w:lineRule="auto"/>
              <w:rPr>
                <w:b/>
              </w:rPr>
            </w:pPr>
            <w:r>
              <w:rPr>
                <w:b/>
              </w:rPr>
              <w:t>5.1 – CÁLCULO DOS CUSTOS TOTAIS DE PROPRIEDADE</w:t>
            </w:r>
          </w:p>
        </w:tc>
      </w:tr>
      <w:tr w:rsidR="004E4AF8">
        <w:trPr>
          <w:trHeight w:val="375"/>
        </w:trPr>
        <w:tc>
          <w:tcPr>
            <w:tcW w:w="9628" w:type="dxa"/>
            <w:tcBorders>
              <w:bottom w:val="nil"/>
            </w:tcBorders>
            <w:shd w:val="clear" w:color="auto" w:fill="D9D9D9"/>
          </w:tcPr>
          <w:p w:rsidR="004E4AF8" w:rsidRDefault="00D62302">
            <w:pPr>
              <w:spacing w:line="259" w:lineRule="auto"/>
              <w:rPr>
                <w:b/>
              </w:rPr>
            </w:pPr>
            <w:r>
              <w:rPr>
                <w:b/>
              </w:rPr>
              <w:t>Solução Viável 1</w:t>
            </w:r>
          </w:p>
        </w:tc>
      </w:tr>
      <w:tr w:rsidR="004E4AF8">
        <w:trPr>
          <w:trHeight w:val="419"/>
        </w:trPr>
        <w:tc>
          <w:tcPr>
            <w:tcW w:w="9628" w:type="dxa"/>
            <w:tcBorders>
              <w:top w:val="nil"/>
              <w:bottom w:val="nil"/>
            </w:tcBorders>
            <w:shd w:val="clear" w:color="auto" w:fill="F2F2F2"/>
            <w:vAlign w:val="center"/>
          </w:tcPr>
          <w:p w:rsidR="004E4AF8" w:rsidRDefault="00D62302">
            <w:pPr>
              <w:spacing w:line="259" w:lineRule="auto"/>
              <w:rPr>
                <w:b/>
              </w:rPr>
            </w:pPr>
            <w:r>
              <w:rPr>
                <w:b/>
              </w:rPr>
              <w:t>Custo Total de Propriedade – Memória de Cálculo</w:t>
            </w:r>
          </w:p>
        </w:tc>
      </w:tr>
      <w:tr w:rsidR="004E4AF8">
        <w:trPr>
          <w:trHeight w:val="419"/>
        </w:trPr>
        <w:tc>
          <w:tcPr>
            <w:tcW w:w="9628" w:type="dxa"/>
            <w:tcBorders>
              <w:top w:val="nil"/>
              <w:bottom w:val="single" w:sz="4" w:space="0" w:color="000000"/>
            </w:tcBorders>
            <w:vAlign w:val="center"/>
          </w:tcPr>
          <w:p w:rsidR="004E4AF8" w:rsidRDefault="00D62302">
            <w:pPr>
              <w:spacing w:line="259" w:lineRule="auto"/>
            </w:pPr>
            <w:r>
              <w:t>&lt;</w:t>
            </w:r>
            <w:r>
              <w:rPr>
                <w:color w:val="0F6FC6"/>
              </w:rPr>
              <w:t>Cálculo do Custo Total de Propriedade da Solução 1, considerando os custos inerentes ao ciclo de vida dos bens e serviços da solução, incluindo custos direitos e indiretos, a exemplo dos valores de aquisição dos ativos, insumos, garantia, manutenção etc.</w:t>
            </w:r>
            <w:r>
              <w:t>&gt;</w:t>
            </w:r>
          </w:p>
          <w:p w:rsidR="004E4AF8" w:rsidRDefault="00D62302">
            <w:pPr>
              <w:spacing w:line="259" w:lineRule="auto"/>
            </w:pPr>
            <w:r>
              <w:t>&lt;</w:t>
            </w:r>
            <w:r>
              <w:rPr>
                <w:color w:val="0F6FC6"/>
              </w:rPr>
              <w:t>Deve-se registrar a memória de cálculo que referencie os preços e os custos utilizados na análise, com vistas a permitir a verificação da origem dos dados.</w:t>
            </w:r>
            <w:r>
              <w:t>&gt;</w:t>
            </w:r>
          </w:p>
        </w:tc>
      </w:tr>
      <w:tr w:rsidR="004E4AF8">
        <w:trPr>
          <w:trHeight w:val="375"/>
        </w:trPr>
        <w:tc>
          <w:tcPr>
            <w:tcW w:w="9628" w:type="dxa"/>
            <w:tcBorders>
              <w:bottom w:val="nil"/>
            </w:tcBorders>
            <w:shd w:val="clear" w:color="auto" w:fill="D9D9D9"/>
            <w:vAlign w:val="center"/>
          </w:tcPr>
          <w:p w:rsidR="004E4AF8" w:rsidRDefault="00D62302">
            <w:pPr>
              <w:spacing w:line="259" w:lineRule="auto"/>
              <w:jc w:val="left"/>
              <w:rPr>
                <w:b/>
              </w:rPr>
            </w:pPr>
            <w:r>
              <w:rPr>
                <w:b/>
              </w:rPr>
              <w:t>Solução Viável N</w:t>
            </w:r>
          </w:p>
        </w:tc>
      </w:tr>
      <w:tr w:rsidR="004E4AF8">
        <w:trPr>
          <w:trHeight w:val="419"/>
        </w:trPr>
        <w:tc>
          <w:tcPr>
            <w:tcW w:w="9628" w:type="dxa"/>
            <w:tcBorders>
              <w:top w:val="nil"/>
            </w:tcBorders>
            <w:shd w:val="clear" w:color="auto" w:fill="F2F2F2"/>
            <w:vAlign w:val="center"/>
          </w:tcPr>
          <w:p w:rsidR="004E4AF8" w:rsidRDefault="00D62302">
            <w:pPr>
              <w:spacing w:line="259" w:lineRule="auto"/>
              <w:jc w:val="left"/>
              <w:rPr>
                <w:b/>
              </w:rPr>
            </w:pPr>
            <w:r>
              <w:rPr>
                <w:b/>
              </w:rPr>
              <w:t>Custo Total de Propriedade – Memória de Cálculo</w:t>
            </w:r>
          </w:p>
        </w:tc>
      </w:tr>
      <w:tr w:rsidR="004E4AF8">
        <w:trPr>
          <w:trHeight w:val="419"/>
        </w:trPr>
        <w:tc>
          <w:tcPr>
            <w:tcW w:w="9628" w:type="dxa"/>
          </w:tcPr>
          <w:p w:rsidR="004E4AF8" w:rsidRDefault="00D62302">
            <w:pPr>
              <w:spacing w:line="259" w:lineRule="auto"/>
            </w:pPr>
            <w:r>
              <w:t>&lt;</w:t>
            </w:r>
            <w:r>
              <w:rPr>
                <w:color w:val="0F6FC6"/>
              </w:rPr>
              <w:t>Cálculo do Custo Total de Propriedade da Solução N, considerando os custos inerentes ao ciclo de vida dos bens e serviços da solução, incluindo custos direitos e indiretos, a exemplo dos valores de aquisição dos ativos, insumos, garantia, manutenção etc.</w:t>
            </w:r>
            <w:r>
              <w:t>&gt;</w:t>
            </w:r>
          </w:p>
          <w:p w:rsidR="004E4AF8" w:rsidRDefault="00D62302">
            <w:pPr>
              <w:spacing w:line="259" w:lineRule="auto"/>
            </w:pPr>
            <w:r>
              <w:t>&lt;</w:t>
            </w:r>
            <w:r>
              <w:rPr>
                <w:color w:val="0F6FC6"/>
              </w:rPr>
              <w:t>Deve-se registrar a memória de cálculo que referencie os preços e os custos utilizados na análise, com vistas a permitir a verificação da origem dos dados.</w:t>
            </w:r>
            <w:r>
              <w:t>&gt;</w:t>
            </w:r>
          </w:p>
        </w:tc>
      </w:tr>
    </w:tbl>
    <w:p w:rsidR="004E4AF8" w:rsidRDefault="004E4AF8">
      <w:pPr>
        <w:spacing w:after="0" w:line="240" w:lineRule="auto"/>
        <w:jc w:val="left"/>
      </w:pPr>
    </w:p>
    <w:tbl>
      <w:tblPr>
        <w:tblStyle w:val="affffffffffffffffff0"/>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2122"/>
        <w:gridCol w:w="1417"/>
        <w:gridCol w:w="1418"/>
        <w:gridCol w:w="1417"/>
        <w:gridCol w:w="1418"/>
        <w:gridCol w:w="1836"/>
      </w:tblGrid>
      <w:tr w:rsidR="004E4AF8">
        <w:tc>
          <w:tcPr>
            <w:tcW w:w="9628" w:type="dxa"/>
            <w:gridSpan w:val="6"/>
            <w:tcBorders>
              <w:bottom w:val="single" w:sz="4" w:space="0" w:color="000000"/>
            </w:tcBorders>
            <w:shd w:val="clear" w:color="auto" w:fill="BFBFBF"/>
          </w:tcPr>
          <w:p w:rsidR="004E4AF8" w:rsidRDefault="00D62302">
            <w:pPr>
              <w:spacing w:line="259" w:lineRule="auto"/>
              <w:rPr>
                <w:b/>
              </w:rPr>
            </w:pPr>
            <w:r>
              <w:rPr>
                <w:b/>
              </w:rPr>
              <w:t xml:space="preserve">5.2 – MAPA COMPARATIVO DOS CÁLCULOS TOTAIS DE PROPRIEDADE – TCO </w:t>
            </w:r>
          </w:p>
        </w:tc>
      </w:tr>
      <w:tr w:rsidR="004E4AF8">
        <w:trPr>
          <w:trHeight w:val="375"/>
        </w:trPr>
        <w:tc>
          <w:tcPr>
            <w:tcW w:w="9628" w:type="dxa"/>
            <w:gridSpan w:val="6"/>
            <w:tcBorders>
              <w:bottom w:val="single" w:sz="4" w:space="0" w:color="000000"/>
            </w:tcBorders>
            <w:shd w:val="clear" w:color="auto" w:fill="auto"/>
          </w:tcPr>
          <w:p w:rsidR="004E4AF8" w:rsidRDefault="00D62302">
            <w:pPr>
              <w:spacing w:line="259" w:lineRule="auto"/>
              <w:rPr>
                <w:b/>
              </w:rPr>
            </w:pPr>
            <w:r>
              <w:t>&lt;</w:t>
            </w:r>
            <w:r>
              <w:rPr>
                <w:color w:val="0F6FC6"/>
              </w:rPr>
              <w:t>Sugere-se a elaboração de um mapa comparativo, consolidando os resultados apresentados. Esta tabela pode variar conforme a complexidade de cada projeto.</w:t>
            </w:r>
            <w:r>
              <w:t>&gt;</w:t>
            </w:r>
          </w:p>
        </w:tc>
      </w:tr>
      <w:tr w:rsidR="004E4AF8">
        <w:trPr>
          <w:trHeight w:val="419"/>
        </w:trPr>
        <w:tc>
          <w:tcPr>
            <w:tcW w:w="2122" w:type="dxa"/>
            <w:vMerge w:val="restart"/>
            <w:tcBorders>
              <w:top w:val="single" w:sz="4" w:space="0" w:color="000000"/>
            </w:tcBorders>
            <w:shd w:val="clear" w:color="auto" w:fill="F2F2F2"/>
            <w:vAlign w:val="center"/>
          </w:tcPr>
          <w:p w:rsidR="004E4AF8" w:rsidRDefault="00D62302">
            <w:pPr>
              <w:spacing w:line="259" w:lineRule="auto"/>
              <w:jc w:val="center"/>
              <w:rPr>
                <w:b/>
              </w:rPr>
            </w:pPr>
            <w:r>
              <w:rPr>
                <w:b/>
              </w:rPr>
              <w:t>Descrição da</w:t>
            </w:r>
          </w:p>
          <w:p w:rsidR="004E4AF8" w:rsidRDefault="00D62302">
            <w:pPr>
              <w:spacing w:line="259" w:lineRule="auto"/>
              <w:jc w:val="center"/>
              <w:rPr>
                <w:b/>
              </w:rPr>
            </w:pPr>
            <w:r>
              <w:rPr>
                <w:b/>
              </w:rPr>
              <w:t>Solução</w:t>
            </w:r>
          </w:p>
        </w:tc>
        <w:tc>
          <w:tcPr>
            <w:tcW w:w="5670" w:type="dxa"/>
            <w:gridSpan w:val="4"/>
            <w:tcBorders>
              <w:top w:val="single" w:sz="4" w:space="0" w:color="000000"/>
              <w:bottom w:val="single" w:sz="4" w:space="0" w:color="000000"/>
            </w:tcBorders>
            <w:shd w:val="clear" w:color="auto" w:fill="F2F2F2"/>
            <w:vAlign w:val="center"/>
          </w:tcPr>
          <w:p w:rsidR="004E4AF8" w:rsidRDefault="00D62302">
            <w:pPr>
              <w:spacing w:line="259" w:lineRule="auto"/>
              <w:jc w:val="center"/>
              <w:rPr>
                <w:b/>
              </w:rPr>
            </w:pPr>
            <w:r>
              <w:rPr>
                <w:b/>
              </w:rPr>
              <w:t>Estimativa de TCO ao longo dos anos</w:t>
            </w:r>
          </w:p>
        </w:tc>
        <w:tc>
          <w:tcPr>
            <w:tcW w:w="1836" w:type="dxa"/>
            <w:vMerge w:val="restart"/>
            <w:tcBorders>
              <w:top w:val="single" w:sz="4" w:space="0" w:color="000000"/>
            </w:tcBorders>
            <w:shd w:val="clear" w:color="auto" w:fill="F2F2F2"/>
            <w:vAlign w:val="center"/>
          </w:tcPr>
          <w:p w:rsidR="004E4AF8" w:rsidRDefault="00D62302">
            <w:pPr>
              <w:spacing w:line="259" w:lineRule="auto"/>
              <w:jc w:val="center"/>
              <w:rPr>
                <w:b/>
              </w:rPr>
            </w:pPr>
            <w:r>
              <w:rPr>
                <w:b/>
              </w:rPr>
              <w:t>Total</w:t>
            </w:r>
          </w:p>
        </w:tc>
      </w:tr>
      <w:tr w:rsidR="004E4AF8">
        <w:trPr>
          <w:trHeight w:val="419"/>
        </w:trPr>
        <w:tc>
          <w:tcPr>
            <w:tcW w:w="2122" w:type="dxa"/>
            <w:vMerge/>
            <w:tcBorders>
              <w:top w:val="single" w:sz="4" w:space="0" w:color="000000"/>
            </w:tcBorders>
            <w:shd w:val="clear" w:color="auto" w:fill="F2F2F2"/>
            <w:vAlign w:val="center"/>
          </w:tcPr>
          <w:p w:rsidR="004E4AF8" w:rsidRDefault="004E4AF8">
            <w:pPr>
              <w:widowControl w:val="0"/>
              <w:pBdr>
                <w:top w:val="nil"/>
                <w:left w:val="nil"/>
                <w:bottom w:val="nil"/>
                <w:right w:val="nil"/>
                <w:between w:val="nil"/>
              </w:pBdr>
              <w:spacing w:line="276" w:lineRule="auto"/>
              <w:jc w:val="left"/>
              <w:rPr>
                <w:b/>
              </w:rPr>
            </w:pPr>
          </w:p>
        </w:tc>
        <w:tc>
          <w:tcPr>
            <w:tcW w:w="1417" w:type="dxa"/>
            <w:tcBorders>
              <w:top w:val="single" w:sz="4" w:space="0" w:color="000000"/>
              <w:bottom w:val="single" w:sz="4" w:space="0" w:color="000000"/>
            </w:tcBorders>
            <w:shd w:val="clear" w:color="auto" w:fill="F2F2F2"/>
            <w:vAlign w:val="center"/>
          </w:tcPr>
          <w:p w:rsidR="004E4AF8" w:rsidRDefault="00D62302">
            <w:pPr>
              <w:spacing w:line="259" w:lineRule="auto"/>
              <w:jc w:val="center"/>
              <w:rPr>
                <w:b/>
              </w:rPr>
            </w:pPr>
            <w:r>
              <w:rPr>
                <w:b/>
              </w:rPr>
              <w:t>Ano 1</w:t>
            </w:r>
          </w:p>
        </w:tc>
        <w:tc>
          <w:tcPr>
            <w:tcW w:w="1418" w:type="dxa"/>
            <w:tcBorders>
              <w:top w:val="single" w:sz="4" w:space="0" w:color="000000"/>
              <w:bottom w:val="single" w:sz="4" w:space="0" w:color="000000"/>
            </w:tcBorders>
            <w:shd w:val="clear" w:color="auto" w:fill="F2F2F2"/>
            <w:vAlign w:val="center"/>
          </w:tcPr>
          <w:p w:rsidR="004E4AF8" w:rsidRDefault="00D62302">
            <w:pPr>
              <w:spacing w:line="259" w:lineRule="auto"/>
              <w:jc w:val="center"/>
              <w:rPr>
                <w:b/>
              </w:rPr>
            </w:pPr>
            <w:r>
              <w:rPr>
                <w:b/>
              </w:rPr>
              <w:t>Ano 2</w:t>
            </w:r>
          </w:p>
        </w:tc>
        <w:tc>
          <w:tcPr>
            <w:tcW w:w="1417" w:type="dxa"/>
            <w:tcBorders>
              <w:top w:val="single" w:sz="4" w:space="0" w:color="000000"/>
              <w:bottom w:val="single" w:sz="4" w:space="0" w:color="000000"/>
            </w:tcBorders>
            <w:shd w:val="clear" w:color="auto" w:fill="F2F2F2"/>
            <w:vAlign w:val="center"/>
          </w:tcPr>
          <w:p w:rsidR="004E4AF8" w:rsidRDefault="00D62302">
            <w:pPr>
              <w:spacing w:line="259" w:lineRule="auto"/>
              <w:jc w:val="center"/>
              <w:rPr>
                <w:b/>
              </w:rPr>
            </w:pPr>
            <w:r>
              <w:rPr>
                <w:b/>
              </w:rPr>
              <w:t>Ano 3</w:t>
            </w:r>
          </w:p>
        </w:tc>
        <w:tc>
          <w:tcPr>
            <w:tcW w:w="1418" w:type="dxa"/>
            <w:tcBorders>
              <w:top w:val="single" w:sz="4" w:space="0" w:color="000000"/>
              <w:bottom w:val="single" w:sz="4" w:space="0" w:color="000000"/>
            </w:tcBorders>
            <w:shd w:val="clear" w:color="auto" w:fill="F2F2F2"/>
            <w:vAlign w:val="center"/>
          </w:tcPr>
          <w:p w:rsidR="004E4AF8" w:rsidRDefault="00D62302">
            <w:pPr>
              <w:spacing w:line="259" w:lineRule="auto"/>
              <w:jc w:val="center"/>
              <w:rPr>
                <w:b/>
              </w:rPr>
            </w:pPr>
            <w:r>
              <w:rPr>
                <w:b/>
              </w:rPr>
              <w:t>Ano 4</w:t>
            </w:r>
          </w:p>
        </w:tc>
        <w:tc>
          <w:tcPr>
            <w:tcW w:w="1836" w:type="dxa"/>
            <w:vMerge/>
            <w:tcBorders>
              <w:top w:val="single" w:sz="4" w:space="0" w:color="000000"/>
            </w:tcBorders>
            <w:shd w:val="clear" w:color="auto" w:fill="F2F2F2"/>
            <w:vAlign w:val="center"/>
          </w:tcPr>
          <w:p w:rsidR="004E4AF8" w:rsidRDefault="004E4AF8">
            <w:pPr>
              <w:widowControl w:val="0"/>
              <w:pBdr>
                <w:top w:val="nil"/>
                <w:left w:val="nil"/>
                <w:bottom w:val="nil"/>
                <w:right w:val="nil"/>
                <w:between w:val="nil"/>
              </w:pBdr>
              <w:spacing w:line="276" w:lineRule="auto"/>
              <w:jc w:val="left"/>
              <w:rPr>
                <w:b/>
              </w:rPr>
            </w:pPr>
          </w:p>
        </w:tc>
      </w:tr>
      <w:tr w:rsidR="004E4AF8">
        <w:trPr>
          <w:trHeight w:val="419"/>
        </w:trPr>
        <w:tc>
          <w:tcPr>
            <w:tcW w:w="2122" w:type="dxa"/>
            <w:tcBorders>
              <w:top w:val="single" w:sz="4" w:space="0" w:color="000000"/>
              <w:bottom w:val="single" w:sz="4" w:space="0" w:color="000000"/>
            </w:tcBorders>
            <w:vAlign w:val="center"/>
          </w:tcPr>
          <w:p w:rsidR="004E4AF8" w:rsidRDefault="00D62302">
            <w:pPr>
              <w:spacing w:line="259" w:lineRule="auto"/>
              <w:rPr>
                <w:color w:val="0F6FC6"/>
                <w:sz w:val="20"/>
                <w:szCs w:val="20"/>
              </w:rPr>
            </w:pPr>
            <w:r>
              <w:rPr>
                <w:color w:val="0F6FC6"/>
                <w:sz w:val="20"/>
                <w:szCs w:val="20"/>
              </w:rPr>
              <w:t>Solução Viável 1</w:t>
            </w:r>
          </w:p>
        </w:tc>
        <w:tc>
          <w:tcPr>
            <w:tcW w:w="1417" w:type="dxa"/>
            <w:tcBorders>
              <w:top w:val="single" w:sz="4" w:space="0" w:color="000000"/>
              <w:bottom w:val="single" w:sz="4" w:space="0" w:color="000000"/>
            </w:tcBorders>
            <w:vAlign w:val="center"/>
          </w:tcPr>
          <w:p w:rsidR="004E4AF8" w:rsidRDefault="00D62302">
            <w:pPr>
              <w:spacing w:line="259" w:lineRule="auto"/>
              <w:jc w:val="right"/>
              <w:rPr>
                <w:color w:val="0F6FC6"/>
                <w:sz w:val="20"/>
                <w:szCs w:val="20"/>
              </w:rPr>
            </w:pPr>
            <w:r>
              <w:rPr>
                <w:color w:val="0F6FC6"/>
                <w:sz w:val="20"/>
                <w:szCs w:val="20"/>
              </w:rPr>
              <w:t>R$ XX.XXX,XX</w:t>
            </w:r>
          </w:p>
        </w:tc>
        <w:tc>
          <w:tcPr>
            <w:tcW w:w="1418" w:type="dxa"/>
            <w:tcBorders>
              <w:top w:val="single" w:sz="4" w:space="0" w:color="000000"/>
              <w:bottom w:val="single" w:sz="4" w:space="0" w:color="000000"/>
            </w:tcBorders>
            <w:vAlign w:val="center"/>
          </w:tcPr>
          <w:p w:rsidR="004E4AF8" w:rsidRDefault="00D62302">
            <w:pPr>
              <w:spacing w:line="259" w:lineRule="auto"/>
              <w:jc w:val="right"/>
              <w:rPr>
                <w:color w:val="0F6FC6"/>
                <w:sz w:val="20"/>
                <w:szCs w:val="20"/>
              </w:rPr>
            </w:pPr>
            <w:r>
              <w:rPr>
                <w:color w:val="0F6FC6"/>
                <w:sz w:val="20"/>
                <w:szCs w:val="20"/>
              </w:rPr>
              <w:t>R$ XX.XXX,XX</w:t>
            </w:r>
          </w:p>
        </w:tc>
        <w:tc>
          <w:tcPr>
            <w:tcW w:w="1417" w:type="dxa"/>
            <w:tcBorders>
              <w:top w:val="single" w:sz="4" w:space="0" w:color="000000"/>
              <w:bottom w:val="single" w:sz="4" w:space="0" w:color="000000"/>
            </w:tcBorders>
            <w:vAlign w:val="center"/>
          </w:tcPr>
          <w:p w:rsidR="004E4AF8" w:rsidRDefault="00D62302">
            <w:pPr>
              <w:spacing w:line="259" w:lineRule="auto"/>
              <w:jc w:val="right"/>
              <w:rPr>
                <w:color w:val="0F6FC6"/>
                <w:sz w:val="20"/>
                <w:szCs w:val="20"/>
              </w:rPr>
            </w:pPr>
            <w:r>
              <w:rPr>
                <w:color w:val="0F6FC6"/>
                <w:sz w:val="20"/>
                <w:szCs w:val="20"/>
              </w:rPr>
              <w:t>R$ XX.XXX,XX</w:t>
            </w:r>
          </w:p>
        </w:tc>
        <w:tc>
          <w:tcPr>
            <w:tcW w:w="1418" w:type="dxa"/>
            <w:tcBorders>
              <w:top w:val="single" w:sz="4" w:space="0" w:color="000000"/>
              <w:bottom w:val="single" w:sz="4" w:space="0" w:color="000000"/>
            </w:tcBorders>
            <w:vAlign w:val="center"/>
          </w:tcPr>
          <w:p w:rsidR="004E4AF8" w:rsidRDefault="00D62302">
            <w:pPr>
              <w:spacing w:line="259" w:lineRule="auto"/>
              <w:jc w:val="right"/>
              <w:rPr>
                <w:color w:val="0F6FC6"/>
                <w:sz w:val="20"/>
                <w:szCs w:val="20"/>
              </w:rPr>
            </w:pPr>
            <w:r>
              <w:rPr>
                <w:color w:val="0F6FC6"/>
                <w:sz w:val="20"/>
                <w:szCs w:val="20"/>
              </w:rPr>
              <w:t>R$ XX.XXX,XX</w:t>
            </w:r>
          </w:p>
        </w:tc>
        <w:tc>
          <w:tcPr>
            <w:tcW w:w="1836" w:type="dxa"/>
            <w:tcBorders>
              <w:top w:val="single" w:sz="4" w:space="0" w:color="000000"/>
              <w:bottom w:val="single" w:sz="4" w:space="0" w:color="000000"/>
            </w:tcBorders>
            <w:vAlign w:val="center"/>
          </w:tcPr>
          <w:p w:rsidR="004E4AF8" w:rsidRDefault="00D62302">
            <w:pPr>
              <w:spacing w:line="259" w:lineRule="auto"/>
              <w:jc w:val="right"/>
              <w:rPr>
                <w:b/>
                <w:color w:val="0F6FC6"/>
                <w:sz w:val="20"/>
                <w:szCs w:val="20"/>
              </w:rPr>
            </w:pPr>
            <w:r>
              <w:rPr>
                <w:b/>
                <w:color w:val="0F6FC6"/>
                <w:sz w:val="20"/>
                <w:szCs w:val="20"/>
              </w:rPr>
              <w:t>R$ XXX.XXX,XX</w:t>
            </w:r>
          </w:p>
        </w:tc>
      </w:tr>
      <w:tr w:rsidR="004E4AF8">
        <w:trPr>
          <w:trHeight w:val="419"/>
        </w:trPr>
        <w:tc>
          <w:tcPr>
            <w:tcW w:w="2122" w:type="dxa"/>
            <w:tcBorders>
              <w:top w:val="single" w:sz="4" w:space="0" w:color="000000"/>
              <w:bottom w:val="single" w:sz="4" w:space="0" w:color="000000"/>
            </w:tcBorders>
            <w:vAlign w:val="center"/>
          </w:tcPr>
          <w:p w:rsidR="004E4AF8" w:rsidRDefault="00D62302">
            <w:pPr>
              <w:spacing w:line="259" w:lineRule="auto"/>
              <w:rPr>
                <w:color w:val="0F6FC6"/>
                <w:sz w:val="20"/>
                <w:szCs w:val="20"/>
              </w:rPr>
            </w:pPr>
            <w:r>
              <w:rPr>
                <w:color w:val="0F6FC6"/>
                <w:sz w:val="20"/>
                <w:szCs w:val="20"/>
              </w:rPr>
              <w:t>Solução Viável N</w:t>
            </w:r>
          </w:p>
        </w:tc>
        <w:tc>
          <w:tcPr>
            <w:tcW w:w="1417" w:type="dxa"/>
            <w:tcBorders>
              <w:top w:val="single" w:sz="4" w:space="0" w:color="000000"/>
              <w:bottom w:val="single" w:sz="4" w:space="0" w:color="000000"/>
            </w:tcBorders>
            <w:vAlign w:val="center"/>
          </w:tcPr>
          <w:p w:rsidR="004E4AF8" w:rsidRDefault="00D62302">
            <w:pPr>
              <w:spacing w:line="259" w:lineRule="auto"/>
              <w:jc w:val="right"/>
              <w:rPr>
                <w:color w:val="0F6FC6"/>
                <w:sz w:val="20"/>
                <w:szCs w:val="20"/>
              </w:rPr>
            </w:pPr>
            <w:r>
              <w:rPr>
                <w:color w:val="0F6FC6"/>
                <w:sz w:val="20"/>
                <w:szCs w:val="20"/>
              </w:rPr>
              <w:t>R$ XX.XXX,XX</w:t>
            </w:r>
          </w:p>
        </w:tc>
        <w:tc>
          <w:tcPr>
            <w:tcW w:w="1418" w:type="dxa"/>
            <w:tcBorders>
              <w:top w:val="single" w:sz="4" w:space="0" w:color="000000"/>
              <w:bottom w:val="single" w:sz="4" w:space="0" w:color="000000"/>
            </w:tcBorders>
            <w:vAlign w:val="center"/>
          </w:tcPr>
          <w:p w:rsidR="004E4AF8" w:rsidRDefault="00D62302">
            <w:pPr>
              <w:spacing w:line="259" w:lineRule="auto"/>
              <w:jc w:val="right"/>
              <w:rPr>
                <w:color w:val="0F6FC6"/>
                <w:sz w:val="20"/>
                <w:szCs w:val="20"/>
              </w:rPr>
            </w:pPr>
            <w:r>
              <w:rPr>
                <w:color w:val="0F6FC6"/>
                <w:sz w:val="20"/>
                <w:szCs w:val="20"/>
              </w:rPr>
              <w:t>R$ XX.XXX,XX</w:t>
            </w:r>
          </w:p>
        </w:tc>
        <w:tc>
          <w:tcPr>
            <w:tcW w:w="1417" w:type="dxa"/>
            <w:tcBorders>
              <w:top w:val="single" w:sz="4" w:space="0" w:color="000000"/>
              <w:bottom w:val="single" w:sz="4" w:space="0" w:color="000000"/>
            </w:tcBorders>
            <w:vAlign w:val="center"/>
          </w:tcPr>
          <w:p w:rsidR="004E4AF8" w:rsidRDefault="00D62302">
            <w:pPr>
              <w:spacing w:line="259" w:lineRule="auto"/>
              <w:jc w:val="right"/>
              <w:rPr>
                <w:color w:val="0F6FC6"/>
                <w:sz w:val="20"/>
                <w:szCs w:val="20"/>
              </w:rPr>
            </w:pPr>
            <w:r>
              <w:rPr>
                <w:color w:val="0F6FC6"/>
                <w:sz w:val="20"/>
                <w:szCs w:val="20"/>
              </w:rPr>
              <w:t>R$ XX.XXX,XX</w:t>
            </w:r>
          </w:p>
        </w:tc>
        <w:tc>
          <w:tcPr>
            <w:tcW w:w="1418" w:type="dxa"/>
            <w:tcBorders>
              <w:top w:val="single" w:sz="4" w:space="0" w:color="000000"/>
              <w:bottom w:val="single" w:sz="4" w:space="0" w:color="000000"/>
            </w:tcBorders>
            <w:vAlign w:val="center"/>
          </w:tcPr>
          <w:p w:rsidR="004E4AF8" w:rsidRDefault="00D62302">
            <w:pPr>
              <w:spacing w:line="259" w:lineRule="auto"/>
              <w:jc w:val="right"/>
              <w:rPr>
                <w:color w:val="0F6FC6"/>
                <w:sz w:val="20"/>
                <w:szCs w:val="20"/>
              </w:rPr>
            </w:pPr>
            <w:r>
              <w:rPr>
                <w:color w:val="0F6FC6"/>
                <w:sz w:val="20"/>
                <w:szCs w:val="20"/>
              </w:rPr>
              <w:t>R$ XX.XXX,XX</w:t>
            </w:r>
          </w:p>
        </w:tc>
        <w:tc>
          <w:tcPr>
            <w:tcW w:w="1836" w:type="dxa"/>
            <w:tcBorders>
              <w:top w:val="single" w:sz="4" w:space="0" w:color="000000"/>
              <w:bottom w:val="single" w:sz="4" w:space="0" w:color="000000"/>
            </w:tcBorders>
            <w:vAlign w:val="center"/>
          </w:tcPr>
          <w:p w:rsidR="004E4AF8" w:rsidRDefault="00D62302">
            <w:pPr>
              <w:spacing w:line="259" w:lineRule="auto"/>
              <w:jc w:val="right"/>
              <w:rPr>
                <w:b/>
                <w:color w:val="0F6FC6"/>
                <w:sz w:val="20"/>
                <w:szCs w:val="20"/>
              </w:rPr>
            </w:pPr>
            <w:r>
              <w:rPr>
                <w:b/>
                <w:color w:val="0F6FC6"/>
                <w:sz w:val="20"/>
                <w:szCs w:val="20"/>
              </w:rPr>
              <w:t>R$ XXX.XXX,XX</w:t>
            </w:r>
          </w:p>
        </w:tc>
      </w:tr>
    </w:tbl>
    <w:p w:rsidR="004E4AF8" w:rsidRDefault="004E4AF8">
      <w:pPr>
        <w:spacing w:after="0" w:line="240" w:lineRule="auto"/>
        <w:jc w:val="left"/>
      </w:pPr>
    </w:p>
    <w:tbl>
      <w:tblPr>
        <w:tblStyle w:val="affffffffffffffffff1"/>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rPr>
                <w:b/>
              </w:rPr>
            </w:pPr>
            <w:r>
              <w:rPr>
                <w:b/>
              </w:rPr>
              <w:t>6 – DESCRIÇÃO AS SOLUÇÃO DE TIC A SER CONTRATADA</w:t>
            </w:r>
          </w:p>
        </w:tc>
      </w:tr>
      <w:tr w:rsidR="004E4AF8">
        <w:trPr>
          <w:trHeight w:val="375"/>
        </w:trPr>
        <w:tc>
          <w:tcPr>
            <w:tcW w:w="9628" w:type="dxa"/>
            <w:shd w:val="clear" w:color="auto" w:fill="FFFFFF"/>
          </w:tcPr>
          <w:p w:rsidR="004E4AF8" w:rsidRDefault="004E4AF8">
            <w:pPr>
              <w:spacing w:line="259" w:lineRule="auto"/>
            </w:pPr>
          </w:p>
          <w:p w:rsidR="004E4AF8" w:rsidRDefault="00D62302">
            <w:pPr>
              <w:spacing w:line="259" w:lineRule="auto"/>
              <w:rPr>
                <w:color w:val="2191C9"/>
              </w:rPr>
            </w:pPr>
            <w:r>
              <w:lastRenderedPageBreak/>
              <w:t>&lt;</w:t>
            </w:r>
            <w:r>
              <w:rPr>
                <w:color w:val="0F6FC6"/>
              </w:rPr>
              <w:t>Após a análise comparativa das Soluções, descrever a solução escolhida</w:t>
            </w:r>
            <w:r>
              <w:t>&gt;.</w:t>
            </w:r>
          </w:p>
          <w:p w:rsidR="004E4AF8" w:rsidRDefault="00D62302">
            <w:pPr>
              <w:spacing w:line="259" w:lineRule="auto"/>
            </w:pPr>
            <w:r>
              <w:t>&lt;</w:t>
            </w:r>
            <w:r>
              <w:rPr>
                <w:color w:val="0F6FC6"/>
              </w:rPr>
              <w:t xml:space="preserve">Apesar de a obrigação de justificativa do parcelamento ou não da solução ocorrer apenas na elaboração do Termo de Referência, a Equipe de Planejamento também poderá já realizar esta </w:t>
            </w:r>
            <w:r>
              <w:rPr>
                <w:color w:val="0F6FC6"/>
              </w:rPr>
              <w:t>análise preliminar e registrar nesta seção</w:t>
            </w:r>
            <w:r>
              <w:t>&gt;.</w:t>
            </w:r>
          </w:p>
          <w:p w:rsidR="004E4AF8" w:rsidRDefault="004E4AF8">
            <w:pPr>
              <w:spacing w:line="259" w:lineRule="auto"/>
              <w:rPr>
                <w:b/>
              </w:rPr>
            </w:pPr>
          </w:p>
        </w:tc>
      </w:tr>
    </w:tbl>
    <w:p w:rsidR="004E4AF8" w:rsidRDefault="004E4AF8">
      <w:pPr>
        <w:spacing w:after="0" w:line="240" w:lineRule="auto"/>
        <w:jc w:val="left"/>
      </w:pPr>
    </w:p>
    <w:tbl>
      <w:tblPr>
        <w:tblStyle w:val="affffffffffffffffff2"/>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rPr>
                <w:b/>
              </w:rPr>
            </w:pPr>
            <w:r>
              <w:rPr>
                <w:b/>
              </w:rPr>
              <w:t>7 – ESTIMATIVA DE CUSTO TOTAL DA CONTRATAÇÃO</w:t>
            </w:r>
          </w:p>
        </w:tc>
      </w:tr>
      <w:tr w:rsidR="004E4AF8">
        <w:trPr>
          <w:trHeight w:val="375"/>
        </w:trPr>
        <w:tc>
          <w:tcPr>
            <w:tcW w:w="9628" w:type="dxa"/>
            <w:shd w:val="clear" w:color="auto" w:fill="FFFFFF"/>
          </w:tcPr>
          <w:p w:rsidR="004E4AF8" w:rsidRDefault="004E4AF8">
            <w:pPr>
              <w:spacing w:line="259" w:lineRule="auto"/>
            </w:pPr>
          </w:p>
          <w:p w:rsidR="004E4AF8" w:rsidRDefault="00D62302">
            <w:pPr>
              <w:spacing w:line="259" w:lineRule="auto"/>
              <w:rPr>
                <w:color w:val="2191C9"/>
              </w:rPr>
            </w:pPr>
            <w:r>
              <w:t>&lt;</w:t>
            </w:r>
            <w:r>
              <w:rPr>
                <w:color w:val="0F6FC6"/>
              </w:rPr>
              <w:t>Registro da estimativa do custo da contratação, considerando a Solução escolhida</w:t>
            </w:r>
            <w:r>
              <w:t>&gt;.</w:t>
            </w:r>
          </w:p>
          <w:p w:rsidR="004E4AF8" w:rsidRDefault="004E4AF8">
            <w:pPr>
              <w:spacing w:line="259" w:lineRule="auto"/>
              <w:rPr>
                <w:b/>
              </w:rPr>
            </w:pPr>
          </w:p>
        </w:tc>
      </w:tr>
    </w:tbl>
    <w:p w:rsidR="004E4AF8" w:rsidRDefault="004E4AF8">
      <w:pPr>
        <w:spacing w:after="0" w:line="240" w:lineRule="auto"/>
        <w:jc w:val="left"/>
      </w:pPr>
    </w:p>
    <w:tbl>
      <w:tblPr>
        <w:tblStyle w:val="affffffffffffffffff3"/>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shd w:val="clear" w:color="auto" w:fill="BFBFBF"/>
          </w:tcPr>
          <w:p w:rsidR="004E4AF8" w:rsidRDefault="00D62302">
            <w:pPr>
              <w:spacing w:line="259" w:lineRule="auto"/>
              <w:rPr>
                <w:b/>
              </w:rPr>
            </w:pPr>
            <w:r>
              <w:rPr>
                <w:b/>
              </w:rPr>
              <w:t>8 – DECLARAÇÃO DE VIABILIDADE DA CONTRATAÇÃO</w:t>
            </w:r>
          </w:p>
        </w:tc>
      </w:tr>
      <w:tr w:rsidR="004E4AF8">
        <w:trPr>
          <w:trHeight w:val="375"/>
        </w:trPr>
        <w:tc>
          <w:tcPr>
            <w:tcW w:w="9628" w:type="dxa"/>
            <w:shd w:val="clear" w:color="auto" w:fill="FFFFFF"/>
          </w:tcPr>
          <w:p w:rsidR="004E4AF8" w:rsidRDefault="00D62302">
            <w:pPr>
              <w:spacing w:line="259" w:lineRule="auto"/>
              <w:rPr>
                <w:b/>
              </w:rPr>
            </w:pPr>
            <w:r>
              <w:t>&lt;</w:t>
            </w:r>
            <w:r>
              <w:rPr>
                <w:color w:val="0F6FC6"/>
              </w:rPr>
              <w:t>Declaração da viabilidade da contratação, contendo a justificativa da solução escolhida, demonstrando os benefícios a serem alcançados em termos de eficácia, eficiência, efetividade e economicidade</w:t>
            </w:r>
            <w:r>
              <w:t>&gt;.</w:t>
            </w:r>
          </w:p>
        </w:tc>
      </w:tr>
    </w:tbl>
    <w:p w:rsidR="004E4AF8" w:rsidRDefault="004E4AF8">
      <w:pPr>
        <w:spacing w:line="259" w:lineRule="auto"/>
        <w:jc w:val="left"/>
      </w:pPr>
    </w:p>
    <w:tbl>
      <w:tblPr>
        <w:tblStyle w:val="affffffffffffffffff4"/>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4814"/>
        <w:gridCol w:w="4814"/>
      </w:tblGrid>
      <w:tr w:rsidR="004E4AF8">
        <w:tc>
          <w:tcPr>
            <w:tcW w:w="9628" w:type="dxa"/>
            <w:gridSpan w:val="2"/>
            <w:shd w:val="clear" w:color="auto" w:fill="BFBFBF"/>
          </w:tcPr>
          <w:p w:rsidR="004E4AF8" w:rsidRDefault="00D62302">
            <w:pPr>
              <w:spacing w:line="259" w:lineRule="auto"/>
              <w:rPr>
                <w:b/>
              </w:rPr>
            </w:pPr>
            <w:r>
              <w:rPr>
                <w:b/>
              </w:rPr>
              <w:t>9 – APROVAÇÃO E ASSINATURA</w:t>
            </w:r>
          </w:p>
        </w:tc>
      </w:tr>
      <w:tr w:rsidR="004E4AF8">
        <w:trPr>
          <w:trHeight w:val="375"/>
        </w:trPr>
        <w:tc>
          <w:tcPr>
            <w:tcW w:w="9628" w:type="dxa"/>
            <w:gridSpan w:val="2"/>
            <w:tcBorders>
              <w:bottom w:val="single" w:sz="4" w:space="0" w:color="000000"/>
            </w:tcBorders>
            <w:shd w:val="clear" w:color="auto" w:fill="FFFFFF"/>
          </w:tcPr>
          <w:p w:rsidR="004E4AF8" w:rsidRDefault="004E4AF8">
            <w:pPr>
              <w:spacing w:line="259" w:lineRule="auto"/>
            </w:pPr>
          </w:p>
          <w:p w:rsidR="004E4AF8" w:rsidRDefault="00D62302">
            <w:pPr>
              <w:spacing w:line="259" w:lineRule="auto"/>
            </w:pPr>
            <w:r>
              <w:t xml:space="preserve">A Equipe de Planejamento da Contratação foi instituída pela Portaria nº </w:t>
            </w:r>
            <w:r>
              <w:rPr>
                <w:color w:val="0F6FC6"/>
              </w:rPr>
              <w:t>XXX (ou outro instrumento equivalente de formalização)</w:t>
            </w:r>
            <w:r>
              <w:t>, de &lt;</w:t>
            </w:r>
            <w:r>
              <w:rPr>
                <w:color w:val="0F6FC6"/>
              </w:rPr>
              <w:t>dia</w:t>
            </w:r>
            <w:r>
              <w:t>&gt; de &lt;</w:t>
            </w:r>
            <w:r>
              <w:rPr>
                <w:color w:val="0F6FC6"/>
              </w:rPr>
              <w:t>mês</w:t>
            </w:r>
            <w:r>
              <w:t>&gt; de &lt;</w:t>
            </w:r>
            <w:r>
              <w:rPr>
                <w:color w:val="0F6FC6"/>
              </w:rPr>
              <w:t>ano</w:t>
            </w:r>
            <w:r>
              <w:t>&gt;.</w:t>
            </w:r>
          </w:p>
          <w:p w:rsidR="004E4AF8" w:rsidRDefault="00D62302">
            <w:pPr>
              <w:spacing w:line="259" w:lineRule="auto"/>
            </w:pPr>
            <w:r>
              <w:t xml:space="preserve">Conforme o § </w:t>
            </w:r>
            <w:r>
              <w:rPr>
                <w:color w:val="0F6FC6"/>
              </w:rPr>
              <w:t xml:space="preserve">XXº </w:t>
            </w:r>
            <w:r>
              <w:t xml:space="preserve">do Art. </w:t>
            </w:r>
            <w:r>
              <w:rPr>
                <w:color w:val="0F6FC6"/>
              </w:rPr>
              <w:t xml:space="preserve">XX </w:t>
            </w:r>
            <w:r>
              <w:t xml:space="preserve">da Resolução </w:t>
            </w:r>
            <w:r>
              <w:rPr>
                <w:color w:val="0F6FC6"/>
              </w:rPr>
              <w:t xml:space="preserve">CNJ </w:t>
            </w:r>
            <w:r>
              <w:t xml:space="preserve">nº </w:t>
            </w:r>
            <w:r>
              <w:rPr>
                <w:color w:val="0F6FC6"/>
              </w:rPr>
              <w:t xml:space="preserve">XXX </w:t>
            </w:r>
            <w:r>
              <w:t xml:space="preserve">de </w:t>
            </w:r>
            <w:r>
              <w:rPr>
                <w:color w:val="0F6FC6"/>
              </w:rPr>
              <w:t xml:space="preserve">XXX </w:t>
            </w:r>
            <w:r>
              <w:t xml:space="preserve">de </w:t>
            </w:r>
            <w:r>
              <w:rPr>
                <w:color w:val="0F6FC6"/>
              </w:rPr>
              <w:t>20XX</w:t>
            </w:r>
            <w:r>
              <w:t>, o Estudo Técnico Preliminar deve</w:t>
            </w:r>
            <w:r>
              <w:t>rá ser aprovado e assinado pelos Integrantes Técnicos e Demandantes e pela autoridade máxima da área de TIC:</w:t>
            </w:r>
          </w:p>
        </w:tc>
      </w:tr>
      <w:tr w:rsidR="004E4AF8">
        <w:trPr>
          <w:trHeight w:val="375"/>
        </w:trPr>
        <w:tc>
          <w:tcPr>
            <w:tcW w:w="4814" w:type="dxa"/>
            <w:tcBorders>
              <w:bottom w:val="nil"/>
            </w:tcBorders>
            <w:shd w:val="clear" w:color="auto" w:fill="F2F2F2"/>
            <w:vAlign w:val="center"/>
          </w:tcPr>
          <w:p w:rsidR="004E4AF8" w:rsidRDefault="00D62302">
            <w:pPr>
              <w:spacing w:line="259" w:lineRule="auto"/>
              <w:jc w:val="center"/>
              <w:rPr>
                <w:b/>
              </w:rPr>
            </w:pPr>
            <w:r>
              <w:rPr>
                <w:b/>
              </w:rPr>
              <w:t>INTEGRANTE TÉCNICO</w:t>
            </w:r>
          </w:p>
        </w:tc>
        <w:tc>
          <w:tcPr>
            <w:tcW w:w="4814" w:type="dxa"/>
            <w:tcBorders>
              <w:bottom w:val="nil"/>
            </w:tcBorders>
            <w:shd w:val="clear" w:color="auto" w:fill="F2F2F2"/>
            <w:vAlign w:val="center"/>
          </w:tcPr>
          <w:p w:rsidR="004E4AF8" w:rsidRDefault="00D62302">
            <w:pPr>
              <w:spacing w:line="259" w:lineRule="auto"/>
              <w:jc w:val="center"/>
              <w:rPr>
                <w:b/>
              </w:rPr>
            </w:pPr>
            <w:r>
              <w:rPr>
                <w:b/>
              </w:rPr>
              <w:t>INTEGRANTE DEMANDANTE</w:t>
            </w:r>
          </w:p>
        </w:tc>
      </w:tr>
      <w:tr w:rsidR="004E4AF8">
        <w:trPr>
          <w:trHeight w:val="375"/>
        </w:trPr>
        <w:tc>
          <w:tcPr>
            <w:tcW w:w="4814" w:type="dxa"/>
            <w:tcBorders>
              <w:top w:val="nil"/>
              <w:bottom w:val="single" w:sz="4" w:space="0" w:color="000000"/>
            </w:tcBorders>
            <w:shd w:val="clear" w:color="auto" w:fill="FFFFFF"/>
          </w:tcPr>
          <w:p w:rsidR="004E4AF8" w:rsidRDefault="004E4AF8">
            <w:pPr>
              <w:spacing w:line="259" w:lineRule="auto"/>
            </w:pPr>
          </w:p>
          <w:p w:rsidR="004E4AF8" w:rsidRDefault="004E4AF8">
            <w:pPr>
              <w:spacing w:line="259" w:lineRule="auto"/>
            </w:pPr>
          </w:p>
          <w:p w:rsidR="004E4AF8" w:rsidRDefault="00D62302">
            <w:pPr>
              <w:spacing w:line="259" w:lineRule="auto"/>
              <w:jc w:val="center"/>
            </w:pPr>
            <w:r>
              <w:t>___________________________________________</w:t>
            </w:r>
          </w:p>
          <w:p w:rsidR="004E4AF8" w:rsidRDefault="00D62302">
            <w:pPr>
              <w:spacing w:line="259" w:lineRule="auto"/>
              <w:jc w:val="center"/>
            </w:pPr>
            <w:r>
              <w:t>&lt;</w:t>
            </w:r>
            <w:r>
              <w:rPr>
                <w:color w:val="0F6FC6"/>
              </w:rPr>
              <w:t>Nome do integrante técnico</w:t>
            </w:r>
            <w:r>
              <w:t>&gt;</w:t>
            </w:r>
          </w:p>
          <w:p w:rsidR="004E4AF8" w:rsidRDefault="00D62302">
            <w:pPr>
              <w:spacing w:line="259" w:lineRule="auto"/>
              <w:jc w:val="center"/>
            </w:pPr>
            <w:r>
              <w:t xml:space="preserve">Matrícula: </w:t>
            </w:r>
            <w:r>
              <w:rPr>
                <w:color w:val="0F6FC6"/>
              </w:rPr>
              <w:t>XXXXXXX</w:t>
            </w:r>
          </w:p>
          <w:p w:rsidR="004E4AF8" w:rsidRDefault="004E4AF8">
            <w:pPr>
              <w:spacing w:line="259" w:lineRule="auto"/>
            </w:pPr>
          </w:p>
          <w:p w:rsidR="004E4AF8" w:rsidRDefault="00D62302">
            <w:pPr>
              <w:spacing w:line="259" w:lineRule="auto"/>
              <w:jc w:val="center"/>
            </w:pPr>
            <w:r>
              <w:t>&lt;</w:t>
            </w:r>
            <w:r>
              <w:rPr>
                <w:color w:val="0F6FC6"/>
              </w:rPr>
              <w:t>Local</w:t>
            </w:r>
            <w:r>
              <w:t>&gt;, &lt;</w:t>
            </w:r>
            <w:r>
              <w:rPr>
                <w:color w:val="0F6FC6"/>
              </w:rPr>
              <w:t>dia</w:t>
            </w:r>
            <w:r>
              <w:t>&gt; de &lt;</w:t>
            </w:r>
            <w:r>
              <w:rPr>
                <w:color w:val="0F6FC6"/>
              </w:rPr>
              <w:t>mês</w:t>
            </w:r>
            <w:r>
              <w:t>&gt; de &lt;</w:t>
            </w:r>
            <w:r>
              <w:rPr>
                <w:color w:val="0F6FC6"/>
              </w:rPr>
              <w:t>ano</w:t>
            </w:r>
            <w:r>
              <w:t>&gt;</w:t>
            </w:r>
          </w:p>
          <w:p w:rsidR="004E4AF8" w:rsidRDefault="004E4AF8">
            <w:pPr>
              <w:spacing w:line="259" w:lineRule="auto"/>
            </w:pPr>
          </w:p>
        </w:tc>
        <w:tc>
          <w:tcPr>
            <w:tcW w:w="4814" w:type="dxa"/>
            <w:tcBorders>
              <w:top w:val="nil"/>
              <w:bottom w:val="single" w:sz="4" w:space="0" w:color="000000"/>
            </w:tcBorders>
            <w:shd w:val="clear" w:color="auto" w:fill="FFFFFF"/>
          </w:tcPr>
          <w:p w:rsidR="004E4AF8" w:rsidRDefault="004E4AF8">
            <w:pPr>
              <w:spacing w:line="259" w:lineRule="auto"/>
            </w:pPr>
          </w:p>
          <w:p w:rsidR="004E4AF8" w:rsidRDefault="004E4AF8">
            <w:pPr>
              <w:spacing w:line="259" w:lineRule="auto"/>
            </w:pPr>
          </w:p>
          <w:p w:rsidR="004E4AF8" w:rsidRDefault="00D62302">
            <w:pPr>
              <w:spacing w:line="259" w:lineRule="auto"/>
              <w:jc w:val="center"/>
            </w:pPr>
            <w:r>
              <w:t>___________________________________________</w:t>
            </w:r>
          </w:p>
          <w:p w:rsidR="004E4AF8" w:rsidRDefault="00D62302">
            <w:pPr>
              <w:spacing w:line="259" w:lineRule="auto"/>
              <w:jc w:val="center"/>
            </w:pPr>
            <w:r>
              <w:t>&lt;</w:t>
            </w:r>
            <w:r>
              <w:rPr>
                <w:color w:val="0F6FC6"/>
              </w:rPr>
              <w:t>Nome do integrante requisitante</w:t>
            </w:r>
            <w:r>
              <w:t>&gt;</w:t>
            </w:r>
          </w:p>
          <w:p w:rsidR="004E4AF8" w:rsidRDefault="00D62302">
            <w:pPr>
              <w:spacing w:line="259" w:lineRule="auto"/>
              <w:jc w:val="center"/>
            </w:pPr>
            <w:r>
              <w:t xml:space="preserve">Matrícula: </w:t>
            </w:r>
            <w:r>
              <w:rPr>
                <w:color w:val="0F6FC6"/>
              </w:rPr>
              <w:t>XXXXXXX</w:t>
            </w:r>
          </w:p>
          <w:p w:rsidR="004E4AF8" w:rsidRDefault="004E4AF8">
            <w:pPr>
              <w:spacing w:line="259" w:lineRule="auto"/>
            </w:pPr>
          </w:p>
          <w:p w:rsidR="004E4AF8" w:rsidRDefault="00D62302">
            <w:pPr>
              <w:spacing w:line="259" w:lineRule="auto"/>
              <w:jc w:val="center"/>
            </w:pPr>
            <w:r>
              <w:t>&lt;</w:t>
            </w:r>
            <w:r>
              <w:rPr>
                <w:color w:val="0F6FC6"/>
              </w:rPr>
              <w:t>Local</w:t>
            </w:r>
            <w:r>
              <w:t>&gt;, &lt;</w:t>
            </w:r>
            <w:r>
              <w:rPr>
                <w:color w:val="0F6FC6"/>
              </w:rPr>
              <w:t>dia</w:t>
            </w:r>
            <w:r>
              <w:t>&gt; de &lt;</w:t>
            </w:r>
            <w:r>
              <w:rPr>
                <w:color w:val="0F6FC6"/>
              </w:rPr>
              <w:t>mês</w:t>
            </w:r>
            <w:r>
              <w:t>&gt; de &lt;</w:t>
            </w:r>
            <w:r>
              <w:rPr>
                <w:color w:val="0F6FC6"/>
              </w:rPr>
              <w:t>ano</w:t>
            </w:r>
            <w:r>
              <w:t>&gt;</w:t>
            </w:r>
          </w:p>
          <w:p w:rsidR="004E4AF8" w:rsidRDefault="004E4AF8">
            <w:pPr>
              <w:spacing w:line="259" w:lineRule="auto"/>
            </w:pPr>
          </w:p>
        </w:tc>
      </w:tr>
      <w:tr w:rsidR="004E4AF8">
        <w:trPr>
          <w:trHeight w:val="375"/>
        </w:trPr>
        <w:tc>
          <w:tcPr>
            <w:tcW w:w="9628" w:type="dxa"/>
            <w:gridSpan w:val="2"/>
            <w:tcBorders>
              <w:top w:val="single" w:sz="4" w:space="0" w:color="000000"/>
              <w:bottom w:val="nil"/>
            </w:tcBorders>
            <w:shd w:val="clear" w:color="auto" w:fill="F2F2F2"/>
          </w:tcPr>
          <w:p w:rsidR="004E4AF8" w:rsidRDefault="00D62302">
            <w:pPr>
              <w:spacing w:line="259" w:lineRule="auto"/>
              <w:jc w:val="center"/>
              <w:rPr>
                <w:b/>
              </w:rPr>
            </w:pPr>
            <w:r>
              <w:rPr>
                <w:b/>
              </w:rPr>
              <w:t>AUTORIDADE MÁXIMA DA ÁREA DE TIC</w:t>
            </w:r>
          </w:p>
          <w:p w:rsidR="004E4AF8" w:rsidRDefault="00D62302">
            <w:pPr>
              <w:spacing w:line="259" w:lineRule="auto"/>
              <w:jc w:val="center"/>
            </w:pPr>
            <w:r>
              <w:rPr>
                <w:b/>
                <w:color w:val="0F6FC6"/>
              </w:rPr>
              <w:t>(OU AUTORIDADE SUPERIOR, SE APLICÁVEL – § XXº do art. XX)</w:t>
            </w:r>
          </w:p>
        </w:tc>
      </w:tr>
      <w:tr w:rsidR="004E4AF8">
        <w:trPr>
          <w:trHeight w:val="375"/>
        </w:trPr>
        <w:tc>
          <w:tcPr>
            <w:tcW w:w="9628" w:type="dxa"/>
            <w:gridSpan w:val="2"/>
            <w:tcBorders>
              <w:top w:val="nil"/>
            </w:tcBorders>
            <w:shd w:val="clear" w:color="auto" w:fill="FFFFFF"/>
          </w:tcPr>
          <w:p w:rsidR="004E4AF8" w:rsidRDefault="004E4AF8">
            <w:pPr>
              <w:spacing w:line="259" w:lineRule="auto"/>
              <w:jc w:val="center"/>
              <w:rPr>
                <w:b/>
              </w:rPr>
            </w:pPr>
          </w:p>
          <w:p w:rsidR="004E4AF8" w:rsidRDefault="004E4AF8">
            <w:pPr>
              <w:spacing w:line="259" w:lineRule="auto"/>
              <w:jc w:val="center"/>
              <w:rPr>
                <w:b/>
              </w:rPr>
            </w:pPr>
          </w:p>
          <w:p w:rsidR="004E4AF8" w:rsidRDefault="00D62302">
            <w:pPr>
              <w:spacing w:line="259" w:lineRule="auto"/>
              <w:jc w:val="center"/>
            </w:pPr>
            <w:r>
              <w:t>___________________________________________</w:t>
            </w:r>
          </w:p>
          <w:p w:rsidR="004E4AF8" w:rsidRDefault="00D62302">
            <w:pPr>
              <w:spacing w:line="259" w:lineRule="auto"/>
              <w:jc w:val="center"/>
            </w:pPr>
            <w:r>
              <w:t>&lt;</w:t>
            </w:r>
            <w:r>
              <w:rPr>
                <w:color w:val="0F6FC6"/>
              </w:rPr>
              <w:t>Nome da autoridade</w:t>
            </w:r>
            <w:r>
              <w:t>&gt;</w:t>
            </w:r>
          </w:p>
          <w:p w:rsidR="004E4AF8" w:rsidRDefault="00D62302">
            <w:pPr>
              <w:spacing w:line="259" w:lineRule="auto"/>
              <w:jc w:val="center"/>
            </w:pPr>
            <w:r>
              <w:t xml:space="preserve">Matrícula: </w:t>
            </w:r>
            <w:r>
              <w:rPr>
                <w:color w:val="0F6FC6"/>
              </w:rPr>
              <w:t>XXXXXXX</w:t>
            </w:r>
          </w:p>
          <w:p w:rsidR="004E4AF8" w:rsidRDefault="004E4AF8">
            <w:pPr>
              <w:spacing w:line="259" w:lineRule="auto"/>
            </w:pPr>
          </w:p>
          <w:p w:rsidR="004E4AF8" w:rsidRDefault="00D62302">
            <w:pPr>
              <w:spacing w:line="259" w:lineRule="auto"/>
              <w:jc w:val="center"/>
            </w:pPr>
            <w:r>
              <w:t>&lt;</w:t>
            </w:r>
            <w:r>
              <w:rPr>
                <w:color w:val="0F6FC6"/>
              </w:rPr>
              <w:t>Local</w:t>
            </w:r>
            <w:r>
              <w:t>&gt;, &lt;</w:t>
            </w:r>
            <w:r>
              <w:rPr>
                <w:color w:val="0F6FC6"/>
              </w:rPr>
              <w:t>dia</w:t>
            </w:r>
            <w:r>
              <w:t>&gt; de &lt;</w:t>
            </w:r>
            <w:r>
              <w:rPr>
                <w:color w:val="0F6FC6"/>
              </w:rPr>
              <w:t>mês</w:t>
            </w:r>
            <w:r>
              <w:t>&gt; de &lt;</w:t>
            </w:r>
            <w:r>
              <w:rPr>
                <w:color w:val="0F6FC6"/>
              </w:rPr>
              <w:t>ano</w:t>
            </w:r>
            <w:r>
              <w:t>&gt;</w:t>
            </w:r>
          </w:p>
          <w:p w:rsidR="004E4AF8" w:rsidRDefault="004E4AF8">
            <w:pPr>
              <w:spacing w:line="259" w:lineRule="auto"/>
              <w:jc w:val="center"/>
              <w:rPr>
                <w:b/>
              </w:rPr>
            </w:pPr>
          </w:p>
        </w:tc>
      </w:tr>
    </w:tbl>
    <w:p w:rsidR="004E4AF8" w:rsidRDefault="00D62302">
      <w:pPr>
        <w:spacing w:line="259" w:lineRule="auto"/>
        <w:jc w:val="left"/>
      </w:pPr>
      <w:r>
        <w:br w:type="page"/>
      </w:r>
    </w:p>
    <w:p w:rsidR="004E4AF8" w:rsidRDefault="00D62302">
      <w:pPr>
        <w:pStyle w:val="Ttulo2"/>
        <w:numPr>
          <w:ilvl w:val="1"/>
          <w:numId w:val="5"/>
        </w:numPr>
      </w:pPr>
      <w:bookmarkStart w:id="32" w:name="_heading=h.49x2ik5" w:colFirst="0" w:colLast="0"/>
      <w:bookmarkEnd w:id="32"/>
      <w:r>
        <w:lastRenderedPageBreak/>
        <w:t>Mapa de Gerenciamento de Riscos</w:t>
      </w:r>
    </w:p>
    <w:p w:rsidR="004E4AF8" w:rsidRDefault="004E4AF8">
      <w:pPr>
        <w:jc w:val="center"/>
        <w:rPr>
          <w:b/>
          <w:sz w:val="32"/>
          <w:szCs w:val="32"/>
        </w:rPr>
      </w:pPr>
    </w:p>
    <w:p w:rsidR="004E4AF8" w:rsidRDefault="004E4AF8">
      <w:pPr>
        <w:jc w:val="center"/>
        <w:rPr>
          <w:b/>
          <w:sz w:val="32"/>
          <w:szCs w:val="32"/>
        </w:rPr>
      </w:pPr>
    </w:p>
    <w:p w:rsidR="004E4AF8" w:rsidRDefault="00D62302">
      <w:pPr>
        <w:jc w:val="center"/>
        <w:rPr>
          <w:b/>
        </w:rPr>
      </w:pPr>
      <w:r>
        <w:rPr>
          <w:b/>
          <w:sz w:val="32"/>
          <w:szCs w:val="32"/>
        </w:rPr>
        <w:t xml:space="preserve">MAPA DE GERENCIAMENTO DE RISCOS </w:t>
      </w: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Processo Administrativo nº &lt;</w:t>
      </w:r>
      <w:r>
        <w:rPr>
          <w:b/>
          <w:color w:val="0F6FC6"/>
          <w:sz w:val="28"/>
          <w:szCs w:val="28"/>
        </w:rPr>
        <w:t>XXXXXXXXXXXXXXX</w:t>
      </w:r>
      <w:r>
        <w:rPr>
          <w:b/>
          <w:sz w:val="28"/>
          <w:szCs w:val="28"/>
        </w:rPr>
        <w:t>&gt;</w:t>
      </w:r>
    </w:p>
    <w:p w:rsidR="004E4AF8" w:rsidRDefault="004E4AF8">
      <w:pPr>
        <w:jc w:val="center"/>
      </w:pP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&lt;</w:t>
      </w:r>
      <w:r>
        <w:rPr>
          <w:b/>
          <w:color w:val="0F6FC6"/>
          <w:sz w:val="28"/>
          <w:szCs w:val="28"/>
        </w:rPr>
        <w:t>Nome do Projeto / Solução</w:t>
      </w:r>
      <w:r>
        <w:rPr>
          <w:b/>
          <w:sz w:val="28"/>
          <w:szCs w:val="28"/>
        </w:rPr>
        <w:t>&gt;</w:t>
      </w: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&lt;</w:t>
      </w:r>
      <w:r>
        <w:rPr>
          <w:b/>
          <w:color w:val="0F6FC6"/>
          <w:sz w:val="28"/>
          <w:szCs w:val="28"/>
        </w:rPr>
        <w:t>local</w:t>
      </w:r>
      <w:r>
        <w:rPr>
          <w:b/>
          <w:sz w:val="28"/>
          <w:szCs w:val="28"/>
        </w:rPr>
        <w:t>&gt;, &lt;</w:t>
      </w:r>
      <w:r>
        <w:rPr>
          <w:b/>
          <w:color w:val="0F6FC6"/>
          <w:sz w:val="28"/>
          <w:szCs w:val="28"/>
        </w:rPr>
        <w:t>mês</w:t>
      </w:r>
      <w:r>
        <w:rPr>
          <w:b/>
          <w:sz w:val="28"/>
          <w:szCs w:val="28"/>
        </w:rPr>
        <w:t>&gt; de &lt;</w:t>
      </w:r>
      <w:r>
        <w:rPr>
          <w:b/>
          <w:color w:val="0F6FC6"/>
          <w:sz w:val="28"/>
          <w:szCs w:val="28"/>
        </w:rPr>
        <w:t>ano</w:t>
      </w:r>
      <w:r>
        <w:rPr>
          <w:b/>
          <w:sz w:val="28"/>
          <w:szCs w:val="28"/>
        </w:rPr>
        <w:t>&gt;</w:t>
      </w:r>
    </w:p>
    <w:p w:rsidR="004E4AF8" w:rsidRDefault="00D62302">
      <w:pPr>
        <w:spacing w:line="259" w:lineRule="auto"/>
        <w:jc w:val="left"/>
      </w:pPr>
      <w:r>
        <w:br w:type="page"/>
      </w:r>
    </w:p>
    <w:p w:rsidR="004E4AF8" w:rsidRDefault="00D62302">
      <w:pPr>
        <w:jc w:val="center"/>
        <w:rPr>
          <w:b/>
        </w:rPr>
      </w:pPr>
      <w:r>
        <w:rPr>
          <w:b/>
        </w:rPr>
        <w:lastRenderedPageBreak/>
        <w:t>HISTÓRICO DE REVISÕES</w:t>
      </w:r>
    </w:p>
    <w:tbl>
      <w:tblPr>
        <w:tblStyle w:val="affffffffffffffffff5"/>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1696"/>
        <w:gridCol w:w="1276"/>
        <w:gridCol w:w="4111"/>
        <w:gridCol w:w="2545"/>
      </w:tblGrid>
      <w:tr w:rsidR="004E4AF8" w:rsidTr="004E4AF8">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t>DATA</w:t>
            </w:r>
          </w:p>
        </w:tc>
        <w:tc>
          <w:tcPr>
            <w:tcW w:w="1276"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VERSÃO</w:t>
            </w:r>
          </w:p>
        </w:tc>
        <w:tc>
          <w:tcPr>
            <w:tcW w:w="4111"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DESCRIÇÃO</w:t>
            </w:r>
          </w:p>
        </w:tc>
        <w:tc>
          <w:tcPr>
            <w:tcW w:w="254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AUTOR</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pPr>
            <w:r>
              <w:t>1.0</w:t>
            </w:r>
          </w:p>
        </w:tc>
        <w:tc>
          <w:tcPr>
            <w:tcW w:w="4111"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color w:val="0F6FC6"/>
              </w:rPr>
            </w:pPr>
            <w:r>
              <w:rPr>
                <w:color w:val="0F6FC6"/>
              </w:rPr>
              <w:t>Finalização da primeira versão do documento</w:t>
            </w:r>
          </w:p>
        </w:tc>
        <w:tc>
          <w:tcPr>
            <w:tcW w:w="25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0F6FC6"/>
              </w:rPr>
            </w:pPr>
            <w:r>
              <w:rPr>
                <w:color w:val="0F6FC6"/>
              </w:rPr>
              <w:t>XXXXXXXXXXX</w:t>
            </w: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pPr>
            <w:r>
              <w:t>2.0</w:t>
            </w:r>
          </w:p>
        </w:tc>
        <w:tc>
          <w:tcPr>
            <w:tcW w:w="4111"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color w:val="0F6FC6"/>
              </w:rPr>
            </w:pPr>
            <w:r>
              <w:rPr>
                <w:color w:val="0F6FC6"/>
              </w:rPr>
              <w:t>Revisão do documento após análise jurídica</w:t>
            </w:r>
          </w:p>
        </w:tc>
        <w:tc>
          <w:tcPr>
            <w:tcW w:w="25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0F6FC6"/>
              </w:rPr>
            </w:pPr>
            <w:r>
              <w:rPr>
                <w:color w:val="0F6FC6"/>
              </w:rPr>
              <w:t>XXXXXXXXXXX</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c>
          <w:tcPr>
            <w:tcW w:w="4111" w:type="dxa"/>
            <w:vAlign w:val="center"/>
          </w:tcPr>
          <w:p w:rsidR="004E4AF8" w:rsidRDefault="004E4AF8">
            <w:pPr>
              <w:cnfStyle w:val="000000100000" w:firstRow="0" w:lastRow="0" w:firstColumn="0" w:lastColumn="0" w:oddVBand="0" w:evenVBand="0" w:oddHBand="1" w:evenHBand="0" w:firstRowFirstColumn="0" w:firstRowLastColumn="0" w:lastRowFirstColumn="0" w:lastRowLastColumn="0"/>
            </w:pPr>
          </w:p>
        </w:tc>
        <w:tc>
          <w:tcPr>
            <w:tcW w:w="2545"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c>
          <w:tcPr>
            <w:tcW w:w="4111" w:type="dxa"/>
            <w:vAlign w:val="center"/>
          </w:tcPr>
          <w:p w:rsidR="004E4AF8" w:rsidRDefault="004E4AF8">
            <w:pPr>
              <w:cnfStyle w:val="000000000000" w:firstRow="0" w:lastRow="0" w:firstColumn="0" w:lastColumn="0" w:oddVBand="0" w:evenVBand="0" w:oddHBand="0" w:evenHBand="0" w:firstRowFirstColumn="0" w:firstRowLastColumn="0" w:lastRowFirstColumn="0" w:lastRowLastColumn="0"/>
            </w:pPr>
          </w:p>
        </w:tc>
        <w:tc>
          <w:tcPr>
            <w:tcW w:w="2545"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r>
    </w:tbl>
    <w:p w:rsidR="004E4AF8" w:rsidRDefault="00D62302">
      <w:pPr>
        <w:spacing w:line="259" w:lineRule="auto"/>
        <w:jc w:val="left"/>
      </w:pPr>
      <w:r>
        <w:t>*Fase: Registro da fase do processo de contratação da solução de TIC relacionada à criação/alteração da Análise de Riscos:</w:t>
      </w:r>
    </w:p>
    <w:p w:rsidR="004E4AF8" w:rsidRDefault="00D62302">
      <w:pPr>
        <w:spacing w:line="259" w:lineRule="auto"/>
        <w:jc w:val="left"/>
      </w:pPr>
      <w:r>
        <w:rPr>
          <w:b/>
        </w:rPr>
        <w:t>PCTIC</w:t>
      </w:r>
      <w:r>
        <w:t xml:space="preserve"> – Planejamento da Contratação;</w:t>
      </w:r>
      <w:r>
        <w:br/>
      </w:r>
      <w:r>
        <w:rPr>
          <w:b/>
        </w:rPr>
        <w:t>SFTIC</w:t>
      </w:r>
      <w:r>
        <w:t xml:space="preserve"> – Seleção de Fornecedores;</w:t>
      </w:r>
      <w:r>
        <w:br/>
      </w:r>
      <w:r>
        <w:rPr>
          <w:b/>
        </w:rPr>
        <w:t>GCTIC</w:t>
      </w:r>
      <w:r>
        <w:t xml:space="preserve"> – Gestão do Contrato.</w:t>
      </w:r>
    </w:p>
    <w:p w:rsidR="004E4AF8" w:rsidRDefault="00D62302">
      <w:pPr>
        <w:spacing w:line="259" w:lineRule="auto"/>
        <w:jc w:val="left"/>
      </w:pPr>
      <w:r>
        <w:br w:type="page"/>
      </w:r>
    </w:p>
    <w:p w:rsidR="004E4AF8" w:rsidRDefault="00D62302">
      <w:pPr>
        <w:spacing w:after="0" w:line="259" w:lineRule="auto"/>
        <w:jc w:val="center"/>
        <w:rPr>
          <w:b/>
        </w:rPr>
      </w:pPr>
      <w:r>
        <w:rPr>
          <w:b/>
        </w:rPr>
        <w:lastRenderedPageBreak/>
        <w:t xml:space="preserve">ANÁLISE DE RISCOS </w:t>
      </w:r>
    </w:p>
    <w:p w:rsidR="004E4AF8" w:rsidRDefault="004E4AF8">
      <w:pPr>
        <w:spacing w:after="0" w:line="259" w:lineRule="auto"/>
        <w:jc w:val="center"/>
        <w:rPr>
          <w:b/>
        </w:rPr>
      </w:pPr>
    </w:p>
    <w:tbl>
      <w:tblPr>
        <w:tblStyle w:val="affffffffffffffffff6"/>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1696"/>
        <w:gridCol w:w="3686"/>
        <w:gridCol w:w="2551"/>
        <w:gridCol w:w="1695"/>
      </w:tblGrid>
      <w:tr w:rsidR="004E4AF8">
        <w:tc>
          <w:tcPr>
            <w:tcW w:w="9628" w:type="dxa"/>
            <w:gridSpan w:val="4"/>
            <w:shd w:val="clear" w:color="auto" w:fill="BFBFBF"/>
          </w:tcPr>
          <w:p w:rsidR="004E4AF8" w:rsidRDefault="00D62302">
            <w:pPr>
              <w:spacing w:line="259" w:lineRule="auto"/>
              <w:jc w:val="center"/>
              <w:rPr>
                <w:b/>
              </w:rPr>
            </w:pPr>
            <w:r>
              <w:rPr>
                <w:b/>
              </w:rPr>
              <w:t>INTRODUÇÃO</w:t>
            </w:r>
          </w:p>
        </w:tc>
      </w:tr>
      <w:tr w:rsidR="004E4AF8">
        <w:trPr>
          <w:trHeight w:val="1737"/>
        </w:trPr>
        <w:tc>
          <w:tcPr>
            <w:tcW w:w="9628" w:type="dxa"/>
            <w:gridSpan w:val="4"/>
            <w:tcBorders>
              <w:bottom w:val="nil"/>
            </w:tcBorders>
          </w:tcPr>
          <w:p w:rsidR="004E4AF8" w:rsidRDefault="00D62302">
            <w:pPr>
              <w:spacing w:line="259" w:lineRule="auto"/>
            </w:pPr>
            <w:r>
              <w:t>O gerenciamento de riscos permite ações contínuas de planejamento, organização e controle dos recursos relacionados aos riscos que possam comprometer o sucesso da contratação, da execução do objeto e da gestão contratual.</w:t>
            </w:r>
          </w:p>
          <w:p w:rsidR="004E4AF8" w:rsidRDefault="00D62302">
            <w:pPr>
              <w:spacing w:line="259" w:lineRule="auto"/>
            </w:pPr>
            <w:r>
              <w:t>O Mapa de Gerenciamento de Risco</w:t>
            </w:r>
            <w:r>
              <w:t xml:space="preserve">s deve conter a identificação e a análise dos principais riscos, consistindo na compreensão da natureza e determinação do nível de risco, que corresponde à combinação do impacto e de suas probabilidades que possam comprometer a efetividade da contratação, </w:t>
            </w:r>
            <w:r>
              <w:t>bem como o alcance dos resultados pretendidos com a solução de</w:t>
            </w:r>
            <w:r>
              <w:br/>
              <w:t>TIC.</w:t>
            </w:r>
          </w:p>
          <w:p w:rsidR="004E4AF8" w:rsidRDefault="00D62302">
            <w:pPr>
              <w:spacing w:line="259" w:lineRule="auto"/>
            </w:pPr>
            <w:r>
              <w:t>Para cada risco identificado, define-se: a probabilidade de ocorrência dos eventos, os possíveis danos e impacto caso o risco ocorra, possíveis ações preventivas e de contingência (respost</w:t>
            </w:r>
            <w:r>
              <w:t>as aos riscos), a identificação de responsáveis pelas ações, bem como o registro e o acompanhamento das ações de tratamento dos riscos.</w:t>
            </w:r>
          </w:p>
          <w:p w:rsidR="004E4AF8" w:rsidRDefault="004E4AF8">
            <w:pPr>
              <w:spacing w:line="259" w:lineRule="auto"/>
            </w:pPr>
          </w:p>
          <w:p w:rsidR="004E4AF8" w:rsidRDefault="00D62302">
            <w:pPr>
              <w:spacing w:line="259" w:lineRule="auto"/>
            </w:pPr>
            <w:r>
              <w:t>&lt;</w:t>
            </w:r>
            <w:r>
              <w:rPr>
                <w:color w:val="0F6FC6"/>
              </w:rPr>
              <w:t>Como exemplo, parâmetros escalares podem ser utilizados para representar os níveis de probabilidade e impacto que, apó</w:t>
            </w:r>
            <w:r>
              <w:rPr>
                <w:color w:val="0F6FC6"/>
              </w:rPr>
              <w:t>s a multiplicação, resultarão nos níveis de risco, que direcionarão as ações relacionadas aos riscos durante as fases de contratação (planejamento, seleção de fornecedor e gestão do contrato</w:t>
            </w:r>
            <w:r>
              <w:t>&gt;.</w:t>
            </w:r>
          </w:p>
          <w:p w:rsidR="004E4AF8" w:rsidRDefault="004E4AF8">
            <w:pPr>
              <w:spacing w:line="259" w:lineRule="auto"/>
              <w:rPr>
                <w:b/>
              </w:rPr>
            </w:pPr>
          </w:p>
        </w:tc>
      </w:tr>
      <w:tr w:rsidR="004E4AF8">
        <w:trPr>
          <w:trHeight w:val="512"/>
        </w:trPr>
        <w:tc>
          <w:tcPr>
            <w:tcW w:w="1696" w:type="dxa"/>
            <w:vMerge w:val="restart"/>
            <w:tcBorders>
              <w:top w:val="nil"/>
            </w:tcBorders>
          </w:tcPr>
          <w:p w:rsidR="004E4AF8" w:rsidRDefault="004E4AF8">
            <w:pPr>
              <w:spacing w:line="259" w:lineRule="auto"/>
            </w:pPr>
          </w:p>
        </w:tc>
        <w:tc>
          <w:tcPr>
            <w:tcW w:w="3686" w:type="dxa"/>
            <w:shd w:val="clear" w:color="auto" w:fill="F2F2F2"/>
            <w:vAlign w:val="center"/>
          </w:tcPr>
          <w:p w:rsidR="004E4AF8" w:rsidRDefault="00D62302">
            <w:pPr>
              <w:spacing w:line="259" w:lineRule="auto"/>
              <w:jc w:val="center"/>
              <w:rPr>
                <w:b/>
                <w:color w:val="0F6FC6"/>
              </w:rPr>
            </w:pPr>
            <w:r>
              <w:rPr>
                <w:b/>
                <w:color w:val="0F6FC6"/>
              </w:rPr>
              <w:t>CLASSIFICAÇÃO</w:t>
            </w:r>
          </w:p>
        </w:tc>
        <w:tc>
          <w:tcPr>
            <w:tcW w:w="2551" w:type="dxa"/>
            <w:shd w:val="clear" w:color="auto" w:fill="F2F2F2"/>
            <w:vAlign w:val="center"/>
          </w:tcPr>
          <w:p w:rsidR="004E4AF8" w:rsidRDefault="00D62302">
            <w:pPr>
              <w:spacing w:line="259" w:lineRule="auto"/>
              <w:jc w:val="center"/>
              <w:rPr>
                <w:b/>
                <w:color w:val="0F6FC6"/>
              </w:rPr>
            </w:pPr>
            <w:r>
              <w:rPr>
                <w:b/>
                <w:color w:val="0F6FC6"/>
              </w:rPr>
              <w:t>VALOR</w:t>
            </w:r>
          </w:p>
        </w:tc>
        <w:tc>
          <w:tcPr>
            <w:tcW w:w="1695" w:type="dxa"/>
            <w:vMerge w:val="restart"/>
            <w:tcBorders>
              <w:top w:val="nil"/>
            </w:tcBorders>
          </w:tcPr>
          <w:p w:rsidR="004E4AF8" w:rsidRDefault="004E4AF8">
            <w:pPr>
              <w:spacing w:line="259" w:lineRule="auto"/>
            </w:pPr>
          </w:p>
        </w:tc>
      </w:tr>
      <w:tr w:rsidR="004E4AF8">
        <w:trPr>
          <w:trHeight w:val="512"/>
        </w:trPr>
        <w:tc>
          <w:tcPr>
            <w:tcW w:w="1696" w:type="dxa"/>
            <w:vMerge/>
            <w:tcBorders>
              <w:top w:val="nil"/>
            </w:tcBorders>
          </w:tcPr>
          <w:p w:rsidR="004E4AF8" w:rsidRDefault="004E4AF8">
            <w:pPr>
              <w:widowControl w:val="0"/>
              <w:pBdr>
                <w:top w:val="nil"/>
                <w:left w:val="nil"/>
                <w:bottom w:val="nil"/>
                <w:right w:val="nil"/>
                <w:between w:val="nil"/>
              </w:pBdr>
              <w:spacing w:line="276" w:lineRule="auto"/>
              <w:jc w:val="left"/>
            </w:pPr>
          </w:p>
        </w:tc>
        <w:tc>
          <w:tcPr>
            <w:tcW w:w="3686" w:type="dxa"/>
            <w:vAlign w:val="center"/>
          </w:tcPr>
          <w:p w:rsidR="004E4AF8" w:rsidRDefault="00D62302">
            <w:pPr>
              <w:spacing w:line="259" w:lineRule="auto"/>
              <w:jc w:val="center"/>
              <w:rPr>
                <w:color w:val="0F6FC6"/>
              </w:rPr>
            </w:pPr>
            <w:r>
              <w:rPr>
                <w:color w:val="0F6FC6"/>
              </w:rPr>
              <w:t>Muito Baixo</w:t>
            </w:r>
          </w:p>
        </w:tc>
        <w:tc>
          <w:tcPr>
            <w:tcW w:w="2551" w:type="dxa"/>
            <w:vAlign w:val="center"/>
          </w:tcPr>
          <w:p w:rsidR="004E4AF8" w:rsidRDefault="00D62302">
            <w:pPr>
              <w:spacing w:line="259" w:lineRule="auto"/>
              <w:jc w:val="center"/>
              <w:rPr>
                <w:color w:val="0F6FC6"/>
              </w:rPr>
            </w:pPr>
            <w:r>
              <w:rPr>
                <w:color w:val="0F6FC6"/>
              </w:rPr>
              <w:t>1</w:t>
            </w:r>
          </w:p>
        </w:tc>
        <w:tc>
          <w:tcPr>
            <w:tcW w:w="1695" w:type="dxa"/>
            <w:vMerge/>
            <w:tcBorders>
              <w:top w:val="nil"/>
            </w:tcBorders>
          </w:tcPr>
          <w:p w:rsidR="004E4AF8" w:rsidRDefault="004E4AF8">
            <w:pPr>
              <w:widowControl w:val="0"/>
              <w:pBdr>
                <w:top w:val="nil"/>
                <w:left w:val="nil"/>
                <w:bottom w:val="nil"/>
                <w:right w:val="nil"/>
                <w:between w:val="nil"/>
              </w:pBdr>
              <w:spacing w:line="276" w:lineRule="auto"/>
              <w:jc w:val="left"/>
              <w:rPr>
                <w:color w:val="0F6FC6"/>
              </w:rPr>
            </w:pPr>
          </w:p>
        </w:tc>
      </w:tr>
      <w:tr w:rsidR="004E4AF8">
        <w:trPr>
          <w:trHeight w:val="512"/>
        </w:trPr>
        <w:tc>
          <w:tcPr>
            <w:tcW w:w="1696" w:type="dxa"/>
            <w:vMerge/>
            <w:tcBorders>
              <w:top w:val="nil"/>
            </w:tcBorders>
          </w:tcPr>
          <w:p w:rsidR="004E4AF8" w:rsidRDefault="004E4AF8">
            <w:pPr>
              <w:widowControl w:val="0"/>
              <w:pBdr>
                <w:top w:val="nil"/>
                <w:left w:val="nil"/>
                <w:bottom w:val="nil"/>
                <w:right w:val="nil"/>
                <w:between w:val="nil"/>
              </w:pBdr>
              <w:spacing w:line="276" w:lineRule="auto"/>
              <w:jc w:val="left"/>
              <w:rPr>
                <w:color w:val="0F6FC6"/>
              </w:rPr>
            </w:pPr>
          </w:p>
        </w:tc>
        <w:tc>
          <w:tcPr>
            <w:tcW w:w="3686" w:type="dxa"/>
            <w:vAlign w:val="center"/>
          </w:tcPr>
          <w:p w:rsidR="004E4AF8" w:rsidRDefault="00D62302">
            <w:pPr>
              <w:spacing w:line="259" w:lineRule="auto"/>
              <w:jc w:val="center"/>
              <w:rPr>
                <w:color w:val="0F6FC6"/>
              </w:rPr>
            </w:pPr>
            <w:r>
              <w:rPr>
                <w:color w:val="0F6FC6"/>
              </w:rPr>
              <w:t>Baixo</w:t>
            </w:r>
          </w:p>
        </w:tc>
        <w:tc>
          <w:tcPr>
            <w:tcW w:w="2551" w:type="dxa"/>
            <w:vAlign w:val="center"/>
          </w:tcPr>
          <w:p w:rsidR="004E4AF8" w:rsidRDefault="00D62302">
            <w:pPr>
              <w:spacing w:line="259" w:lineRule="auto"/>
              <w:jc w:val="center"/>
              <w:rPr>
                <w:color w:val="0F6FC6"/>
              </w:rPr>
            </w:pPr>
            <w:r>
              <w:rPr>
                <w:color w:val="0F6FC6"/>
              </w:rPr>
              <w:t>2</w:t>
            </w:r>
          </w:p>
        </w:tc>
        <w:tc>
          <w:tcPr>
            <w:tcW w:w="1695" w:type="dxa"/>
            <w:vMerge/>
            <w:tcBorders>
              <w:top w:val="nil"/>
            </w:tcBorders>
          </w:tcPr>
          <w:p w:rsidR="004E4AF8" w:rsidRDefault="004E4AF8">
            <w:pPr>
              <w:widowControl w:val="0"/>
              <w:pBdr>
                <w:top w:val="nil"/>
                <w:left w:val="nil"/>
                <w:bottom w:val="nil"/>
                <w:right w:val="nil"/>
                <w:between w:val="nil"/>
              </w:pBdr>
              <w:spacing w:line="276" w:lineRule="auto"/>
              <w:jc w:val="left"/>
              <w:rPr>
                <w:color w:val="0F6FC6"/>
              </w:rPr>
            </w:pPr>
          </w:p>
        </w:tc>
      </w:tr>
      <w:tr w:rsidR="004E4AF8">
        <w:trPr>
          <w:trHeight w:val="512"/>
        </w:trPr>
        <w:tc>
          <w:tcPr>
            <w:tcW w:w="1696" w:type="dxa"/>
            <w:vMerge/>
            <w:tcBorders>
              <w:top w:val="nil"/>
            </w:tcBorders>
          </w:tcPr>
          <w:p w:rsidR="004E4AF8" w:rsidRDefault="004E4AF8">
            <w:pPr>
              <w:widowControl w:val="0"/>
              <w:pBdr>
                <w:top w:val="nil"/>
                <w:left w:val="nil"/>
                <w:bottom w:val="nil"/>
                <w:right w:val="nil"/>
                <w:between w:val="nil"/>
              </w:pBdr>
              <w:spacing w:line="276" w:lineRule="auto"/>
              <w:jc w:val="left"/>
              <w:rPr>
                <w:color w:val="0F6FC6"/>
              </w:rPr>
            </w:pPr>
          </w:p>
        </w:tc>
        <w:tc>
          <w:tcPr>
            <w:tcW w:w="3686" w:type="dxa"/>
            <w:vAlign w:val="center"/>
          </w:tcPr>
          <w:p w:rsidR="004E4AF8" w:rsidRDefault="00D62302">
            <w:pPr>
              <w:spacing w:line="259" w:lineRule="auto"/>
              <w:jc w:val="center"/>
              <w:rPr>
                <w:color w:val="0F6FC6"/>
              </w:rPr>
            </w:pPr>
            <w:r>
              <w:rPr>
                <w:color w:val="0F6FC6"/>
              </w:rPr>
              <w:t>Médio</w:t>
            </w:r>
          </w:p>
        </w:tc>
        <w:tc>
          <w:tcPr>
            <w:tcW w:w="2551" w:type="dxa"/>
            <w:vAlign w:val="center"/>
          </w:tcPr>
          <w:p w:rsidR="004E4AF8" w:rsidRDefault="00D62302">
            <w:pPr>
              <w:spacing w:line="259" w:lineRule="auto"/>
              <w:jc w:val="center"/>
              <w:rPr>
                <w:color w:val="0F6FC6"/>
              </w:rPr>
            </w:pPr>
            <w:r>
              <w:rPr>
                <w:color w:val="0F6FC6"/>
              </w:rPr>
              <w:t>3</w:t>
            </w:r>
          </w:p>
        </w:tc>
        <w:tc>
          <w:tcPr>
            <w:tcW w:w="1695" w:type="dxa"/>
            <w:vMerge/>
            <w:tcBorders>
              <w:top w:val="nil"/>
            </w:tcBorders>
          </w:tcPr>
          <w:p w:rsidR="004E4AF8" w:rsidRDefault="004E4AF8">
            <w:pPr>
              <w:widowControl w:val="0"/>
              <w:pBdr>
                <w:top w:val="nil"/>
                <w:left w:val="nil"/>
                <w:bottom w:val="nil"/>
                <w:right w:val="nil"/>
                <w:between w:val="nil"/>
              </w:pBdr>
              <w:spacing w:line="276" w:lineRule="auto"/>
              <w:jc w:val="left"/>
              <w:rPr>
                <w:color w:val="0F6FC6"/>
              </w:rPr>
            </w:pPr>
          </w:p>
        </w:tc>
      </w:tr>
      <w:tr w:rsidR="004E4AF8">
        <w:trPr>
          <w:trHeight w:val="512"/>
        </w:trPr>
        <w:tc>
          <w:tcPr>
            <w:tcW w:w="1696" w:type="dxa"/>
            <w:vMerge/>
            <w:tcBorders>
              <w:top w:val="nil"/>
            </w:tcBorders>
          </w:tcPr>
          <w:p w:rsidR="004E4AF8" w:rsidRDefault="004E4AF8">
            <w:pPr>
              <w:widowControl w:val="0"/>
              <w:pBdr>
                <w:top w:val="nil"/>
                <w:left w:val="nil"/>
                <w:bottom w:val="nil"/>
                <w:right w:val="nil"/>
                <w:between w:val="nil"/>
              </w:pBdr>
              <w:spacing w:line="276" w:lineRule="auto"/>
              <w:jc w:val="left"/>
              <w:rPr>
                <w:color w:val="0F6FC6"/>
              </w:rPr>
            </w:pPr>
          </w:p>
        </w:tc>
        <w:tc>
          <w:tcPr>
            <w:tcW w:w="3686" w:type="dxa"/>
            <w:vAlign w:val="center"/>
          </w:tcPr>
          <w:p w:rsidR="004E4AF8" w:rsidRDefault="00D62302">
            <w:pPr>
              <w:spacing w:line="259" w:lineRule="auto"/>
              <w:jc w:val="center"/>
              <w:rPr>
                <w:color w:val="0F6FC6"/>
              </w:rPr>
            </w:pPr>
            <w:r>
              <w:rPr>
                <w:color w:val="0F6FC6"/>
              </w:rPr>
              <w:t>Alto</w:t>
            </w:r>
          </w:p>
        </w:tc>
        <w:tc>
          <w:tcPr>
            <w:tcW w:w="2551" w:type="dxa"/>
            <w:vAlign w:val="center"/>
          </w:tcPr>
          <w:p w:rsidR="004E4AF8" w:rsidRDefault="00D62302">
            <w:pPr>
              <w:spacing w:line="259" w:lineRule="auto"/>
              <w:jc w:val="center"/>
              <w:rPr>
                <w:color w:val="0F6FC6"/>
              </w:rPr>
            </w:pPr>
            <w:r>
              <w:rPr>
                <w:color w:val="0F6FC6"/>
              </w:rPr>
              <w:t>4</w:t>
            </w:r>
          </w:p>
        </w:tc>
        <w:tc>
          <w:tcPr>
            <w:tcW w:w="1695" w:type="dxa"/>
            <w:vMerge/>
            <w:tcBorders>
              <w:top w:val="nil"/>
            </w:tcBorders>
          </w:tcPr>
          <w:p w:rsidR="004E4AF8" w:rsidRDefault="004E4AF8">
            <w:pPr>
              <w:widowControl w:val="0"/>
              <w:pBdr>
                <w:top w:val="nil"/>
                <w:left w:val="nil"/>
                <w:bottom w:val="nil"/>
                <w:right w:val="nil"/>
                <w:between w:val="nil"/>
              </w:pBdr>
              <w:spacing w:line="276" w:lineRule="auto"/>
              <w:jc w:val="left"/>
              <w:rPr>
                <w:color w:val="0F6FC6"/>
              </w:rPr>
            </w:pPr>
          </w:p>
        </w:tc>
      </w:tr>
      <w:tr w:rsidR="004E4AF8">
        <w:trPr>
          <w:trHeight w:val="512"/>
        </w:trPr>
        <w:tc>
          <w:tcPr>
            <w:tcW w:w="1696" w:type="dxa"/>
            <w:vMerge/>
            <w:tcBorders>
              <w:top w:val="nil"/>
            </w:tcBorders>
          </w:tcPr>
          <w:p w:rsidR="004E4AF8" w:rsidRDefault="004E4AF8">
            <w:pPr>
              <w:widowControl w:val="0"/>
              <w:pBdr>
                <w:top w:val="nil"/>
                <w:left w:val="nil"/>
                <w:bottom w:val="nil"/>
                <w:right w:val="nil"/>
                <w:between w:val="nil"/>
              </w:pBdr>
              <w:spacing w:line="276" w:lineRule="auto"/>
              <w:jc w:val="left"/>
              <w:rPr>
                <w:color w:val="0F6FC6"/>
              </w:rPr>
            </w:pPr>
          </w:p>
        </w:tc>
        <w:tc>
          <w:tcPr>
            <w:tcW w:w="3686" w:type="dxa"/>
            <w:vAlign w:val="center"/>
          </w:tcPr>
          <w:p w:rsidR="004E4AF8" w:rsidRDefault="00D62302">
            <w:pPr>
              <w:spacing w:line="259" w:lineRule="auto"/>
              <w:jc w:val="center"/>
              <w:rPr>
                <w:color w:val="0F6FC6"/>
              </w:rPr>
            </w:pPr>
            <w:r>
              <w:rPr>
                <w:color w:val="0F6FC6"/>
              </w:rPr>
              <w:t>Muito Alto</w:t>
            </w:r>
          </w:p>
        </w:tc>
        <w:tc>
          <w:tcPr>
            <w:tcW w:w="2551" w:type="dxa"/>
            <w:vAlign w:val="center"/>
          </w:tcPr>
          <w:p w:rsidR="004E4AF8" w:rsidRDefault="00D62302">
            <w:pPr>
              <w:spacing w:line="259" w:lineRule="auto"/>
              <w:jc w:val="center"/>
              <w:rPr>
                <w:color w:val="0F6FC6"/>
              </w:rPr>
            </w:pPr>
            <w:r>
              <w:rPr>
                <w:color w:val="0F6FC6"/>
              </w:rPr>
              <w:t>5</w:t>
            </w:r>
          </w:p>
        </w:tc>
        <w:tc>
          <w:tcPr>
            <w:tcW w:w="1695" w:type="dxa"/>
            <w:vMerge/>
            <w:tcBorders>
              <w:top w:val="nil"/>
            </w:tcBorders>
          </w:tcPr>
          <w:p w:rsidR="004E4AF8" w:rsidRDefault="004E4AF8">
            <w:pPr>
              <w:widowControl w:val="0"/>
              <w:pBdr>
                <w:top w:val="nil"/>
                <w:left w:val="nil"/>
                <w:bottom w:val="nil"/>
                <w:right w:val="nil"/>
                <w:between w:val="nil"/>
              </w:pBdr>
              <w:spacing w:line="276" w:lineRule="auto"/>
              <w:jc w:val="left"/>
              <w:rPr>
                <w:color w:val="0F6FC6"/>
              </w:rPr>
            </w:pPr>
          </w:p>
        </w:tc>
      </w:tr>
      <w:tr w:rsidR="004E4AF8">
        <w:trPr>
          <w:trHeight w:val="512"/>
        </w:trPr>
        <w:tc>
          <w:tcPr>
            <w:tcW w:w="9628" w:type="dxa"/>
            <w:gridSpan w:val="4"/>
            <w:tcBorders>
              <w:top w:val="nil"/>
            </w:tcBorders>
          </w:tcPr>
          <w:p w:rsidR="004E4AF8" w:rsidRDefault="00D62302">
            <w:pPr>
              <w:spacing w:line="259" w:lineRule="auto"/>
              <w:jc w:val="center"/>
              <w:rPr>
                <w:color w:val="0F6FC6"/>
              </w:rPr>
            </w:pPr>
            <w:r>
              <w:rPr>
                <w:color w:val="0F6FC6"/>
              </w:rPr>
              <w:t>Tabela X: Escala de classificação de probabilidade e impacto.</w:t>
            </w:r>
          </w:p>
          <w:p w:rsidR="004E4AF8" w:rsidRDefault="004E4AF8">
            <w:pPr>
              <w:spacing w:line="259" w:lineRule="auto"/>
              <w:rPr>
                <w:color w:val="0F6FC6"/>
              </w:rPr>
            </w:pPr>
          </w:p>
          <w:p w:rsidR="004E4AF8" w:rsidRDefault="00D62302">
            <w:pPr>
              <w:spacing w:line="259" w:lineRule="auto"/>
              <w:rPr>
                <w:color w:val="0F6FC6"/>
              </w:rPr>
            </w:pPr>
            <w:r>
              <w:rPr>
                <w:color w:val="0F6FC6"/>
              </w:rPr>
              <w:t>A tabela acima apresenta a Matriz Probabilidade x Impacto, instrumento de apoio para a definição dos critérios de classificação do nível de risco.</w:t>
            </w:r>
          </w:p>
          <w:p w:rsidR="004E4AF8" w:rsidRDefault="00D62302">
            <w:pPr>
              <w:spacing w:line="259" w:lineRule="auto"/>
              <w:jc w:val="center"/>
              <w:rPr>
                <w:color w:val="2191C9"/>
              </w:rPr>
            </w:pPr>
            <w:r>
              <w:rPr>
                <w:noProof/>
                <w:color w:val="2191C9"/>
              </w:rPr>
              <w:lastRenderedPageBreak/>
              <w:drawing>
                <wp:inline distT="0" distB="0" distL="0" distR="0">
                  <wp:extent cx="4191585" cy="1943371"/>
                  <wp:effectExtent l="0" t="0" r="0" b="0"/>
                  <wp:docPr id="2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a:stretch>
                            <a:fillRect/>
                          </a:stretch>
                        </pic:blipFill>
                        <pic:spPr>
                          <a:xfrm>
                            <a:off x="0" y="0"/>
                            <a:ext cx="4191585" cy="1943371"/>
                          </a:xfrm>
                          <a:prstGeom prst="rect">
                            <a:avLst/>
                          </a:prstGeom>
                          <a:ln/>
                        </pic:spPr>
                      </pic:pic>
                    </a:graphicData>
                  </a:graphic>
                </wp:inline>
              </w:drawing>
            </w:r>
          </w:p>
          <w:p w:rsidR="004E4AF8" w:rsidRDefault="00D62302">
            <w:pPr>
              <w:spacing w:line="259" w:lineRule="auto"/>
              <w:jc w:val="center"/>
              <w:rPr>
                <w:color w:val="0F6FC6"/>
              </w:rPr>
            </w:pPr>
            <w:r>
              <w:rPr>
                <w:color w:val="0F6FC6"/>
              </w:rPr>
              <w:t>Figura X: Matrix Probabilidade x Impacto</w:t>
            </w:r>
          </w:p>
          <w:p w:rsidR="004E4AF8" w:rsidRDefault="004E4AF8">
            <w:pPr>
              <w:spacing w:line="259" w:lineRule="auto"/>
              <w:jc w:val="center"/>
              <w:rPr>
                <w:color w:val="0F6FC6"/>
              </w:rPr>
            </w:pPr>
          </w:p>
          <w:p w:rsidR="004E4AF8" w:rsidRDefault="00D62302">
            <w:pPr>
              <w:spacing w:line="259" w:lineRule="auto"/>
              <w:rPr>
                <w:color w:val="0F6FC6"/>
              </w:rPr>
            </w:pPr>
            <w:r>
              <w:rPr>
                <w:color w:val="0F6FC6"/>
              </w:rPr>
              <w:t>Exemplo de diretrizes de tratamento de riscos:</w:t>
            </w:r>
          </w:p>
          <w:p w:rsidR="004E4AF8" w:rsidRDefault="00D62302">
            <w:pPr>
              <w:spacing w:line="259" w:lineRule="auto"/>
              <w:rPr>
                <w:color w:val="0F6FC6"/>
              </w:rPr>
            </w:pPr>
            <w:r>
              <w:rPr>
                <w:color w:val="0F6FC6"/>
              </w:rPr>
              <w:t xml:space="preserve">O produto da probabilidade pelo impacto de cada risco deve se enquadrar em uma região da matriz probabilidade x impacto. Caso o risco enquadre-se na região verde, seu </w:t>
            </w:r>
            <w:r>
              <w:rPr>
                <w:color w:val="0F6FC6"/>
              </w:rPr>
              <w:t>nível de risco é entendido como baixo, logo admite-se a aceitação ou adoção das medidas preventivas. Se estiver na região amarela, entende-se como médio; e se estiver na região vermelha, entende-se como nível de risco alto e roxa como muito alto. Nos casos</w:t>
            </w:r>
            <w:r>
              <w:rPr>
                <w:color w:val="0F6FC6"/>
              </w:rPr>
              <w:t xml:space="preserve"> de riscos classificados como alto e muito alto, deve-se adotar obrigatoriamente as medidas preventivas previstas.</w:t>
            </w:r>
          </w:p>
          <w:p w:rsidR="004E4AF8" w:rsidRDefault="004E4AF8">
            <w:pPr>
              <w:spacing w:line="259" w:lineRule="auto"/>
              <w:rPr>
                <w:color w:val="0F6FC6"/>
              </w:rPr>
            </w:pPr>
          </w:p>
          <w:p w:rsidR="004E4AF8" w:rsidRDefault="00D62302">
            <w:pPr>
              <w:spacing w:line="259" w:lineRule="auto"/>
              <w:rPr>
                <w:color w:val="0F6FC6"/>
              </w:rPr>
            </w:pPr>
            <w:r>
              <w:rPr>
                <w:color w:val="0F6FC6"/>
              </w:rPr>
              <w:t>O gerenciamento de riscos deve ser realizado em harmonia com a Política de Gestão de Riscos do órgão.</w:t>
            </w:r>
          </w:p>
          <w:p w:rsidR="004E4AF8" w:rsidRDefault="004E4AF8">
            <w:pPr>
              <w:spacing w:line="259" w:lineRule="auto"/>
              <w:rPr>
                <w:color w:val="2191C9"/>
              </w:rPr>
            </w:pPr>
          </w:p>
        </w:tc>
      </w:tr>
    </w:tbl>
    <w:p w:rsidR="004E4AF8" w:rsidRDefault="004E4AF8">
      <w:pPr>
        <w:spacing w:after="0" w:line="240" w:lineRule="auto"/>
        <w:jc w:val="left"/>
      </w:pPr>
    </w:p>
    <w:tbl>
      <w:tblPr>
        <w:tblStyle w:val="affffffffffffffffff7"/>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445"/>
        <w:gridCol w:w="3532"/>
        <w:gridCol w:w="2687"/>
        <w:gridCol w:w="564"/>
        <w:gridCol w:w="564"/>
        <w:gridCol w:w="1836"/>
      </w:tblGrid>
      <w:tr w:rsidR="004E4AF8">
        <w:tc>
          <w:tcPr>
            <w:tcW w:w="9628" w:type="dxa"/>
            <w:gridSpan w:val="6"/>
            <w:tcBorders>
              <w:bottom w:val="single" w:sz="4" w:space="0" w:color="000000"/>
            </w:tcBorders>
            <w:shd w:val="clear" w:color="auto" w:fill="BFBFBF"/>
          </w:tcPr>
          <w:p w:rsidR="004E4AF8" w:rsidRDefault="00D62302">
            <w:pPr>
              <w:spacing w:line="259" w:lineRule="auto"/>
              <w:rPr>
                <w:b/>
              </w:rPr>
            </w:pPr>
            <w:r>
              <w:rPr>
                <w:b/>
              </w:rPr>
              <w:t>2 – IDENTIFICAÇÃO E ANÁLISE DOS PRI</w:t>
            </w:r>
            <w:r>
              <w:rPr>
                <w:b/>
              </w:rPr>
              <w:t>NCIPAIS RISCOS</w:t>
            </w:r>
          </w:p>
        </w:tc>
      </w:tr>
      <w:tr w:rsidR="004E4AF8">
        <w:trPr>
          <w:trHeight w:val="375"/>
        </w:trPr>
        <w:tc>
          <w:tcPr>
            <w:tcW w:w="9628" w:type="dxa"/>
            <w:gridSpan w:val="6"/>
            <w:shd w:val="clear" w:color="auto" w:fill="auto"/>
          </w:tcPr>
          <w:p w:rsidR="004E4AF8" w:rsidRDefault="00D62302">
            <w:pPr>
              <w:spacing w:line="259" w:lineRule="auto"/>
              <w:rPr>
                <w:b/>
              </w:rPr>
            </w:pPr>
            <w:r>
              <w:t>A tabela a seguir apresenta uma síntese dos riscos identificados e classificados neste</w:t>
            </w:r>
            <w:r>
              <w:br/>
              <w:t>documento.</w:t>
            </w:r>
          </w:p>
        </w:tc>
      </w:tr>
      <w:tr w:rsidR="004E4AF8">
        <w:trPr>
          <w:trHeight w:val="375"/>
        </w:trPr>
        <w:tc>
          <w:tcPr>
            <w:tcW w:w="445" w:type="dxa"/>
            <w:shd w:val="clear" w:color="auto" w:fill="F2F2F2"/>
            <w:vAlign w:val="center"/>
          </w:tcPr>
          <w:p w:rsidR="004E4AF8" w:rsidRDefault="00D62302">
            <w:pPr>
              <w:spacing w:line="259" w:lineRule="auto"/>
              <w:jc w:val="center"/>
              <w:rPr>
                <w:b/>
              </w:rPr>
            </w:pPr>
            <w:r>
              <w:rPr>
                <w:b/>
              </w:rPr>
              <w:t>Id</w:t>
            </w:r>
          </w:p>
        </w:tc>
        <w:tc>
          <w:tcPr>
            <w:tcW w:w="3532" w:type="dxa"/>
            <w:shd w:val="clear" w:color="auto" w:fill="F2F2F2"/>
            <w:vAlign w:val="center"/>
          </w:tcPr>
          <w:p w:rsidR="004E4AF8" w:rsidRDefault="00D62302">
            <w:pPr>
              <w:spacing w:line="259" w:lineRule="auto"/>
              <w:jc w:val="center"/>
              <w:rPr>
                <w:b/>
              </w:rPr>
            </w:pPr>
            <w:r>
              <w:rPr>
                <w:b/>
              </w:rPr>
              <w:t>Risco</w:t>
            </w:r>
          </w:p>
        </w:tc>
        <w:tc>
          <w:tcPr>
            <w:tcW w:w="2687" w:type="dxa"/>
            <w:shd w:val="clear" w:color="auto" w:fill="F2F2F2"/>
            <w:vAlign w:val="center"/>
          </w:tcPr>
          <w:p w:rsidR="004E4AF8" w:rsidRDefault="00D62302">
            <w:pPr>
              <w:spacing w:line="259" w:lineRule="auto"/>
              <w:jc w:val="center"/>
              <w:rPr>
                <w:b/>
                <w:vertAlign w:val="superscript"/>
              </w:rPr>
            </w:pPr>
            <w:r>
              <w:rPr>
                <w:b/>
              </w:rPr>
              <w:t>Relacionamento ao(à)</w:t>
            </w:r>
            <w:r>
              <w:rPr>
                <w:b/>
                <w:vertAlign w:val="superscript"/>
              </w:rPr>
              <w:t>1</w:t>
            </w:r>
          </w:p>
        </w:tc>
        <w:tc>
          <w:tcPr>
            <w:tcW w:w="564" w:type="dxa"/>
            <w:shd w:val="clear" w:color="auto" w:fill="F2F2F2"/>
            <w:vAlign w:val="center"/>
          </w:tcPr>
          <w:p w:rsidR="004E4AF8" w:rsidRDefault="00D62302">
            <w:pPr>
              <w:spacing w:line="259" w:lineRule="auto"/>
              <w:jc w:val="center"/>
              <w:rPr>
                <w:b/>
                <w:vertAlign w:val="superscript"/>
              </w:rPr>
            </w:pPr>
            <w:r>
              <w:rPr>
                <w:b/>
              </w:rPr>
              <w:t>P</w:t>
            </w:r>
            <w:r>
              <w:rPr>
                <w:b/>
                <w:vertAlign w:val="superscript"/>
              </w:rPr>
              <w:t>2</w:t>
            </w:r>
          </w:p>
        </w:tc>
        <w:tc>
          <w:tcPr>
            <w:tcW w:w="564" w:type="dxa"/>
            <w:shd w:val="clear" w:color="auto" w:fill="F2F2F2"/>
            <w:vAlign w:val="center"/>
          </w:tcPr>
          <w:p w:rsidR="004E4AF8" w:rsidRDefault="00D62302">
            <w:pPr>
              <w:spacing w:line="259" w:lineRule="auto"/>
              <w:jc w:val="center"/>
              <w:rPr>
                <w:b/>
                <w:vertAlign w:val="superscript"/>
              </w:rPr>
            </w:pPr>
            <w:r>
              <w:rPr>
                <w:b/>
              </w:rPr>
              <w:t>I</w:t>
            </w:r>
            <w:r>
              <w:rPr>
                <w:b/>
                <w:vertAlign w:val="superscript"/>
              </w:rPr>
              <w:t>3</w:t>
            </w:r>
          </w:p>
        </w:tc>
        <w:tc>
          <w:tcPr>
            <w:tcW w:w="1836" w:type="dxa"/>
            <w:shd w:val="clear" w:color="auto" w:fill="F2F2F2"/>
            <w:vAlign w:val="center"/>
          </w:tcPr>
          <w:p w:rsidR="004E4AF8" w:rsidRDefault="00D62302">
            <w:pPr>
              <w:spacing w:line="259" w:lineRule="auto"/>
              <w:jc w:val="center"/>
              <w:rPr>
                <w:b/>
                <w:vertAlign w:val="superscript"/>
              </w:rPr>
            </w:pPr>
            <w:r>
              <w:rPr>
                <w:b/>
              </w:rPr>
              <w:t>Nível de Risco (P X I)</w:t>
            </w:r>
            <w:r>
              <w:rPr>
                <w:b/>
                <w:vertAlign w:val="superscript"/>
              </w:rPr>
              <w:t>4</w:t>
            </w:r>
          </w:p>
        </w:tc>
      </w:tr>
      <w:tr w:rsidR="004E4AF8">
        <w:trPr>
          <w:trHeight w:val="375"/>
        </w:trPr>
        <w:tc>
          <w:tcPr>
            <w:tcW w:w="445" w:type="dxa"/>
            <w:shd w:val="clear" w:color="auto" w:fill="auto"/>
            <w:vAlign w:val="center"/>
          </w:tcPr>
          <w:p w:rsidR="004E4AF8" w:rsidRDefault="00D62302">
            <w:pPr>
              <w:spacing w:line="259" w:lineRule="auto"/>
              <w:jc w:val="center"/>
              <w:rPr>
                <w:color w:val="0F6FC6"/>
              </w:rPr>
            </w:pPr>
            <w:r>
              <w:rPr>
                <w:color w:val="0F6FC6"/>
              </w:rPr>
              <w:t>1</w:t>
            </w:r>
          </w:p>
        </w:tc>
        <w:tc>
          <w:tcPr>
            <w:tcW w:w="3532" w:type="dxa"/>
            <w:shd w:val="clear" w:color="auto" w:fill="auto"/>
            <w:vAlign w:val="center"/>
          </w:tcPr>
          <w:p w:rsidR="004E4AF8" w:rsidRDefault="00D62302">
            <w:pPr>
              <w:spacing w:line="259" w:lineRule="auto"/>
              <w:jc w:val="left"/>
            </w:pPr>
            <w:r>
              <w:t>&lt;</w:t>
            </w:r>
            <w:r>
              <w:rPr>
                <w:color w:val="0F6FC6"/>
              </w:rPr>
              <w:t>Risco 1</w:t>
            </w:r>
            <w:r>
              <w:t>&gt;</w:t>
            </w:r>
          </w:p>
        </w:tc>
        <w:tc>
          <w:tcPr>
            <w:tcW w:w="2687" w:type="dxa"/>
            <w:shd w:val="clear" w:color="auto" w:fill="auto"/>
            <w:vAlign w:val="center"/>
          </w:tcPr>
          <w:p w:rsidR="004E4AF8" w:rsidRDefault="004E4AF8">
            <w:pPr>
              <w:spacing w:line="259" w:lineRule="auto"/>
              <w:jc w:val="center"/>
            </w:pPr>
          </w:p>
        </w:tc>
        <w:tc>
          <w:tcPr>
            <w:tcW w:w="564" w:type="dxa"/>
            <w:shd w:val="clear" w:color="auto" w:fill="auto"/>
            <w:vAlign w:val="center"/>
          </w:tcPr>
          <w:p w:rsidR="004E4AF8" w:rsidRDefault="004E4AF8">
            <w:pPr>
              <w:spacing w:line="259" w:lineRule="auto"/>
              <w:jc w:val="center"/>
            </w:pPr>
          </w:p>
        </w:tc>
        <w:tc>
          <w:tcPr>
            <w:tcW w:w="564" w:type="dxa"/>
            <w:shd w:val="clear" w:color="auto" w:fill="auto"/>
            <w:vAlign w:val="center"/>
          </w:tcPr>
          <w:p w:rsidR="004E4AF8" w:rsidRDefault="004E4AF8">
            <w:pPr>
              <w:spacing w:line="259" w:lineRule="auto"/>
              <w:jc w:val="center"/>
            </w:pPr>
          </w:p>
        </w:tc>
        <w:tc>
          <w:tcPr>
            <w:tcW w:w="1836" w:type="dxa"/>
            <w:shd w:val="clear" w:color="auto" w:fill="auto"/>
            <w:vAlign w:val="center"/>
          </w:tcPr>
          <w:p w:rsidR="004E4AF8" w:rsidRDefault="004E4AF8">
            <w:pPr>
              <w:spacing w:line="259" w:lineRule="auto"/>
              <w:jc w:val="center"/>
            </w:pPr>
          </w:p>
        </w:tc>
      </w:tr>
      <w:tr w:rsidR="004E4AF8">
        <w:trPr>
          <w:trHeight w:val="375"/>
        </w:trPr>
        <w:tc>
          <w:tcPr>
            <w:tcW w:w="445" w:type="dxa"/>
            <w:tcBorders>
              <w:bottom w:val="single" w:sz="4" w:space="0" w:color="000000"/>
            </w:tcBorders>
            <w:shd w:val="clear" w:color="auto" w:fill="auto"/>
            <w:vAlign w:val="center"/>
          </w:tcPr>
          <w:p w:rsidR="004E4AF8" w:rsidRDefault="00D62302">
            <w:pPr>
              <w:spacing w:line="259" w:lineRule="auto"/>
              <w:jc w:val="center"/>
              <w:rPr>
                <w:color w:val="0F6FC6"/>
              </w:rPr>
            </w:pPr>
            <w:r>
              <w:rPr>
                <w:color w:val="0F6FC6"/>
              </w:rPr>
              <w:t>N</w:t>
            </w:r>
          </w:p>
        </w:tc>
        <w:tc>
          <w:tcPr>
            <w:tcW w:w="3532" w:type="dxa"/>
            <w:tcBorders>
              <w:bottom w:val="single" w:sz="4" w:space="0" w:color="000000"/>
            </w:tcBorders>
            <w:shd w:val="clear" w:color="auto" w:fill="auto"/>
            <w:vAlign w:val="center"/>
          </w:tcPr>
          <w:p w:rsidR="004E4AF8" w:rsidRDefault="00D62302">
            <w:pPr>
              <w:spacing w:line="259" w:lineRule="auto"/>
              <w:jc w:val="left"/>
            </w:pPr>
            <w:r>
              <w:t>&lt;</w:t>
            </w:r>
            <w:r>
              <w:rPr>
                <w:color w:val="0F6FC6"/>
              </w:rPr>
              <w:t>Risco N</w:t>
            </w:r>
            <w:r>
              <w:t>&gt;</w:t>
            </w:r>
          </w:p>
        </w:tc>
        <w:tc>
          <w:tcPr>
            <w:tcW w:w="2687" w:type="dxa"/>
            <w:tcBorders>
              <w:bottom w:val="single" w:sz="4" w:space="0" w:color="000000"/>
            </w:tcBorders>
            <w:shd w:val="clear" w:color="auto" w:fill="auto"/>
            <w:vAlign w:val="center"/>
          </w:tcPr>
          <w:p w:rsidR="004E4AF8" w:rsidRDefault="004E4AF8">
            <w:pPr>
              <w:spacing w:line="259" w:lineRule="auto"/>
              <w:jc w:val="center"/>
            </w:pPr>
          </w:p>
        </w:tc>
        <w:tc>
          <w:tcPr>
            <w:tcW w:w="564" w:type="dxa"/>
            <w:tcBorders>
              <w:bottom w:val="single" w:sz="4" w:space="0" w:color="000000"/>
            </w:tcBorders>
            <w:shd w:val="clear" w:color="auto" w:fill="auto"/>
            <w:vAlign w:val="center"/>
          </w:tcPr>
          <w:p w:rsidR="004E4AF8" w:rsidRDefault="004E4AF8">
            <w:pPr>
              <w:spacing w:line="259" w:lineRule="auto"/>
              <w:jc w:val="center"/>
            </w:pPr>
          </w:p>
        </w:tc>
        <w:tc>
          <w:tcPr>
            <w:tcW w:w="564" w:type="dxa"/>
            <w:tcBorders>
              <w:bottom w:val="single" w:sz="4" w:space="0" w:color="000000"/>
            </w:tcBorders>
            <w:shd w:val="clear" w:color="auto" w:fill="auto"/>
            <w:vAlign w:val="center"/>
          </w:tcPr>
          <w:p w:rsidR="004E4AF8" w:rsidRDefault="004E4AF8">
            <w:pPr>
              <w:spacing w:line="259" w:lineRule="auto"/>
              <w:jc w:val="center"/>
            </w:pPr>
          </w:p>
        </w:tc>
        <w:tc>
          <w:tcPr>
            <w:tcW w:w="1836" w:type="dxa"/>
            <w:tcBorders>
              <w:bottom w:val="single" w:sz="4" w:space="0" w:color="000000"/>
            </w:tcBorders>
            <w:shd w:val="clear" w:color="auto" w:fill="auto"/>
            <w:vAlign w:val="center"/>
          </w:tcPr>
          <w:p w:rsidR="004E4AF8" w:rsidRDefault="004E4AF8">
            <w:pPr>
              <w:spacing w:line="259" w:lineRule="auto"/>
              <w:jc w:val="center"/>
            </w:pPr>
          </w:p>
        </w:tc>
      </w:tr>
    </w:tbl>
    <w:p w:rsidR="004E4AF8" w:rsidRDefault="004E4AF8">
      <w:pPr>
        <w:spacing w:after="0" w:line="240" w:lineRule="auto"/>
        <w:jc w:val="left"/>
      </w:pPr>
    </w:p>
    <w:p w:rsidR="004E4AF8" w:rsidRDefault="00D62302">
      <w:pPr>
        <w:spacing w:line="259" w:lineRule="auto"/>
      </w:pPr>
      <w:r>
        <w:t>Legenda:</w:t>
      </w:r>
    </w:p>
    <w:p w:rsidR="004E4AF8" w:rsidRDefault="00D62302">
      <w:pPr>
        <w:spacing w:after="0" w:line="259" w:lineRule="auto"/>
      </w:pPr>
      <w:r>
        <w:rPr>
          <w:b/>
        </w:rPr>
        <w:t>P</w:t>
      </w:r>
      <w:r>
        <w:t xml:space="preserve"> – Probabilidade; </w:t>
      </w:r>
      <w:r>
        <w:rPr>
          <w:b/>
        </w:rPr>
        <w:t>I</w:t>
      </w:r>
      <w:r>
        <w:t xml:space="preserve"> – Impacto;</w:t>
      </w:r>
    </w:p>
    <w:p w:rsidR="004E4AF8" w:rsidRDefault="00D62302">
      <w:pPr>
        <w:spacing w:after="0" w:line="259" w:lineRule="auto"/>
      </w:pPr>
      <w:r>
        <w:rPr>
          <w:b/>
          <w:vertAlign w:val="superscript"/>
        </w:rPr>
        <w:t>1</w:t>
      </w:r>
      <w:r>
        <w:t xml:space="preserve"> A qual natureza o risco está associado: fases do Processo da Contratação ou Solução Tecnológica;</w:t>
      </w:r>
    </w:p>
    <w:p w:rsidR="004E4AF8" w:rsidRDefault="00D62302">
      <w:pPr>
        <w:spacing w:after="0" w:line="259" w:lineRule="auto"/>
      </w:pPr>
      <w:r>
        <w:rPr>
          <w:b/>
          <w:vertAlign w:val="superscript"/>
        </w:rPr>
        <w:t>2</w:t>
      </w:r>
      <w:r>
        <w:t xml:space="preserve"> Probabilidade: chance de algo acontecer, não importando se definida, medida ou determinada objetiva ou subjetivamente, qualitativa ou quantitativamente, ou </w:t>
      </w:r>
      <w:r>
        <w:t>se descrita utilizando-se termos gerais ou matemáticos (ISO/IEC 31000);</w:t>
      </w:r>
    </w:p>
    <w:p w:rsidR="004E4AF8" w:rsidRDefault="00D62302">
      <w:pPr>
        <w:spacing w:after="0" w:line="259" w:lineRule="auto"/>
      </w:pPr>
      <w:r>
        <w:rPr>
          <w:b/>
          <w:vertAlign w:val="superscript"/>
        </w:rPr>
        <w:t>3</w:t>
      </w:r>
      <w:r>
        <w:t xml:space="preserve"> Impacto: resultado de um evento que afeta os objetivos (ISO/IEC 31000:2009).</w:t>
      </w:r>
    </w:p>
    <w:p w:rsidR="004E4AF8" w:rsidRDefault="00D62302">
      <w:pPr>
        <w:spacing w:after="0" w:line="259" w:lineRule="auto"/>
      </w:pPr>
      <w:r>
        <w:rPr>
          <w:b/>
          <w:vertAlign w:val="superscript"/>
        </w:rPr>
        <w:t>4</w:t>
      </w:r>
      <w:r>
        <w:t xml:space="preserve"> Nível de Risco: magnitude de um risco ou combinação de riscos, expressa em termos da combinação das con</w:t>
      </w:r>
      <w:r>
        <w:t>sequências e de suas probabilidades (ISO/IEC 31000:2009).</w:t>
      </w:r>
    </w:p>
    <w:p w:rsidR="004E4AF8" w:rsidRDefault="004E4AF8">
      <w:pPr>
        <w:spacing w:line="259" w:lineRule="auto"/>
        <w:jc w:val="left"/>
      </w:pPr>
    </w:p>
    <w:p w:rsidR="004E4AF8" w:rsidRDefault="00D62302">
      <w:pPr>
        <w:spacing w:after="0" w:line="240" w:lineRule="auto"/>
      </w:pPr>
      <w:r>
        <w:lastRenderedPageBreak/>
        <w:t>&lt;</w:t>
      </w:r>
      <w:r>
        <w:rPr>
          <w:color w:val="0F6FC6"/>
        </w:rPr>
        <w:t>Lembrete: As probabilidades e Impactos são inicialmente definidos no item 3 – Avaliação e Tratamento dos Riscos Identificados e transferidos para a tabela acima para o cálculo dos níveis de risco</w:t>
      </w:r>
      <w:r>
        <w:t>&gt;</w:t>
      </w:r>
      <w:r>
        <w:t>.</w:t>
      </w:r>
    </w:p>
    <w:p w:rsidR="004E4AF8" w:rsidRDefault="00D62302">
      <w:pPr>
        <w:spacing w:after="0" w:line="240" w:lineRule="auto"/>
      </w:pPr>
      <w:r>
        <w:t>&lt;</w:t>
      </w:r>
      <w:r>
        <w:rPr>
          <w:color w:val="0F6FC6"/>
        </w:rPr>
        <w:t>A seguir encontra-se um exemplo de relação de riscos, não exaustiva, de uma contratação de serviços de desenvolvimento e manutenção de software</w:t>
      </w:r>
      <w:r>
        <w:t>&gt;.</w:t>
      </w:r>
    </w:p>
    <w:tbl>
      <w:tblPr>
        <w:tblStyle w:val="affffffffffffffffff8"/>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631"/>
        <w:gridCol w:w="3445"/>
        <w:gridCol w:w="2631"/>
        <w:gridCol w:w="561"/>
        <w:gridCol w:w="558"/>
        <w:gridCol w:w="1802"/>
      </w:tblGrid>
      <w:tr w:rsidR="004E4AF8">
        <w:trPr>
          <w:trHeight w:val="375"/>
        </w:trPr>
        <w:tc>
          <w:tcPr>
            <w:tcW w:w="631" w:type="dxa"/>
            <w:shd w:val="clear" w:color="auto" w:fill="F2F2F2"/>
            <w:vAlign w:val="center"/>
          </w:tcPr>
          <w:p w:rsidR="004E4AF8" w:rsidRDefault="00D62302">
            <w:pPr>
              <w:spacing w:line="259" w:lineRule="auto"/>
              <w:jc w:val="center"/>
              <w:rPr>
                <w:b/>
                <w:color w:val="0F6FC6"/>
              </w:rPr>
            </w:pPr>
            <w:r>
              <w:rPr>
                <w:b/>
                <w:color w:val="0F6FC6"/>
              </w:rPr>
              <w:t>Id</w:t>
            </w:r>
          </w:p>
        </w:tc>
        <w:tc>
          <w:tcPr>
            <w:tcW w:w="3445" w:type="dxa"/>
            <w:shd w:val="clear" w:color="auto" w:fill="F2F2F2"/>
            <w:vAlign w:val="center"/>
          </w:tcPr>
          <w:p w:rsidR="004E4AF8" w:rsidRDefault="00D62302">
            <w:pPr>
              <w:spacing w:line="259" w:lineRule="auto"/>
              <w:jc w:val="center"/>
              <w:rPr>
                <w:b/>
                <w:color w:val="0F6FC6"/>
              </w:rPr>
            </w:pPr>
            <w:r>
              <w:rPr>
                <w:b/>
                <w:color w:val="0F6FC6"/>
              </w:rPr>
              <w:t>Risco</w:t>
            </w:r>
          </w:p>
        </w:tc>
        <w:tc>
          <w:tcPr>
            <w:tcW w:w="2631" w:type="dxa"/>
            <w:shd w:val="clear" w:color="auto" w:fill="F2F2F2"/>
            <w:vAlign w:val="center"/>
          </w:tcPr>
          <w:p w:rsidR="004E4AF8" w:rsidRDefault="00D62302">
            <w:pPr>
              <w:spacing w:line="259" w:lineRule="auto"/>
              <w:jc w:val="center"/>
              <w:rPr>
                <w:b/>
                <w:color w:val="0F6FC6"/>
                <w:vertAlign w:val="superscript"/>
              </w:rPr>
            </w:pPr>
            <w:r>
              <w:rPr>
                <w:b/>
                <w:color w:val="0F6FC6"/>
              </w:rPr>
              <w:t>Relacionamento ao(à)</w:t>
            </w:r>
            <w:r>
              <w:rPr>
                <w:b/>
                <w:color w:val="0F6FC6"/>
                <w:vertAlign w:val="superscript"/>
              </w:rPr>
              <w:t>1</w:t>
            </w:r>
          </w:p>
        </w:tc>
        <w:tc>
          <w:tcPr>
            <w:tcW w:w="561" w:type="dxa"/>
            <w:shd w:val="clear" w:color="auto" w:fill="F2F2F2"/>
            <w:vAlign w:val="center"/>
          </w:tcPr>
          <w:p w:rsidR="004E4AF8" w:rsidRDefault="00D62302">
            <w:pPr>
              <w:spacing w:line="259" w:lineRule="auto"/>
              <w:jc w:val="center"/>
              <w:rPr>
                <w:b/>
                <w:color w:val="0F6FC6"/>
                <w:vertAlign w:val="superscript"/>
              </w:rPr>
            </w:pPr>
            <w:r>
              <w:rPr>
                <w:b/>
                <w:color w:val="0F6FC6"/>
              </w:rPr>
              <w:t>P</w:t>
            </w:r>
            <w:r>
              <w:rPr>
                <w:b/>
                <w:color w:val="0F6FC6"/>
                <w:vertAlign w:val="superscript"/>
              </w:rPr>
              <w:t>2</w:t>
            </w:r>
          </w:p>
        </w:tc>
        <w:tc>
          <w:tcPr>
            <w:tcW w:w="558" w:type="dxa"/>
            <w:shd w:val="clear" w:color="auto" w:fill="F2F2F2"/>
            <w:vAlign w:val="center"/>
          </w:tcPr>
          <w:p w:rsidR="004E4AF8" w:rsidRDefault="00D62302">
            <w:pPr>
              <w:spacing w:line="259" w:lineRule="auto"/>
              <w:jc w:val="center"/>
              <w:rPr>
                <w:b/>
                <w:color w:val="0F6FC6"/>
                <w:vertAlign w:val="superscript"/>
              </w:rPr>
            </w:pPr>
            <w:r>
              <w:rPr>
                <w:b/>
                <w:color w:val="0F6FC6"/>
              </w:rPr>
              <w:t>I</w:t>
            </w:r>
            <w:r>
              <w:rPr>
                <w:b/>
                <w:color w:val="0F6FC6"/>
                <w:vertAlign w:val="superscript"/>
              </w:rPr>
              <w:t>3</w:t>
            </w:r>
          </w:p>
        </w:tc>
        <w:tc>
          <w:tcPr>
            <w:tcW w:w="1802" w:type="dxa"/>
            <w:shd w:val="clear" w:color="auto" w:fill="F2F2F2"/>
            <w:vAlign w:val="center"/>
          </w:tcPr>
          <w:p w:rsidR="004E4AF8" w:rsidRDefault="00D62302">
            <w:pPr>
              <w:spacing w:line="259" w:lineRule="auto"/>
              <w:jc w:val="center"/>
              <w:rPr>
                <w:b/>
                <w:color w:val="0F6FC6"/>
                <w:vertAlign w:val="superscript"/>
              </w:rPr>
            </w:pPr>
            <w:r>
              <w:rPr>
                <w:b/>
                <w:color w:val="0F6FC6"/>
              </w:rPr>
              <w:t>Nível de Risco (P X I)</w:t>
            </w:r>
            <w:r>
              <w:rPr>
                <w:b/>
                <w:color w:val="0F6FC6"/>
                <w:vertAlign w:val="superscript"/>
              </w:rPr>
              <w:t>4</w:t>
            </w:r>
          </w:p>
        </w:tc>
      </w:tr>
      <w:tr w:rsidR="004E4AF8">
        <w:trPr>
          <w:trHeight w:val="375"/>
        </w:trPr>
        <w:tc>
          <w:tcPr>
            <w:tcW w:w="631" w:type="dxa"/>
            <w:shd w:val="clear" w:color="auto" w:fill="auto"/>
            <w:vAlign w:val="center"/>
          </w:tcPr>
          <w:p w:rsidR="004E4AF8" w:rsidRDefault="00D62302">
            <w:pPr>
              <w:spacing w:line="259" w:lineRule="auto"/>
              <w:jc w:val="center"/>
              <w:rPr>
                <w:color w:val="0F6FC6"/>
              </w:rPr>
            </w:pPr>
            <w:r>
              <w:rPr>
                <w:color w:val="0F6FC6"/>
              </w:rPr>
              <w:t>R01</w:t>
            </w:r>
          </w:p>
        </w:tc>
        <w:tc>
          <w:tcPr>
            <w:tcW w:w="3445" w:type="dxa"/>
            <w:shd w:val="clear" w:color="auto" w:fill="auto"/>
            <w:vAlign w:val="center"/>
          </w:tcPr>
          <w:p w:rsidR="004E4AF8" w:rsidRDefault="00D62302">
            <w:pPr>
              <w:spacing w:line="259" w:lineRule="auto"/>
              <w:rPr>
                <w:color w:val="0F6FC6"/>
              </w:rPr>
            </w:pPr>
            <w:r>
              <w:rPr>
                <w:color w:val="0F6FC6"/>
              </w:rPr>
              <w:t>Alteração do escopo dos serviços a serem contratados</w:t>
            </w:r>
          </w:p>
        </w:tc>
        <w:tc>
          <w:tcPr>
            <w:tcW w:w="2631" w:type="dxa"/>
            <w:shd w:val="clear" w:color="auto" w:fill="auto"/>
            <w:vAlign w:val="center"/>
          </w:tcPr>
          <w:p w:rsidR="004E4AF8" w:rsidRDefault="00D62302">
            <w:pPr>
              <w:spacing w:line="259" w:lineRule="auto"/>
              <w:jc w:val="center"/>
              <w:rPr>
                <w:color w:val="0F6FC6"/>
              </w:rPr>
            </w:pPr>
            <w:r>
              <w:rPr>
                <w:color w:val="0F6FC6"/>
              </w:rPr>
              <w:t>Planejamento da</w:t>
            </w:r>
          </w:p>
          <w:p w:rsidR="004E4AF8" w:rsidRDefault="00D62302">
            <w:pPr>
              <w:spacing w:line="259" w:lineRule="auto"/>
              <w:jc w:val="center"/>
              <w:rPr>
                <w:color w:val="0F6FC6"/>
              </w:rPr>
            </w:pPr>
            <w:r>
              <w:rPr>
                <w:color w:val="0F6FC6"/>
              </w:rPr>
              <w:t>Contratação</w:t>
            </w:r>
          </w:p>
        </w:tc>
        <w:tc>
          <w:tcPr>
            <w:tcW w:w="561" w:type="dxa"/>
            <w:shd w:val="clear" w:color="auto" w:fill="auto"/>
            <w:vAlign w:val="center"/>
          </w:tcPr>
          <w:p w:rsidR="004E4AF8" w:rsidRDefault="00D62302">
            <w:pPr>
              <w:spacing w:line="259" w:lineRule="auto"/>
              <w:jc w:val="center"/>
              <w:rPr>
                <w:color w:val="0F6FC6"/>
              </w:rPr>
            </w:pPr>
            <w:r>
              <w:rPr>
                <w:color w:val="0F6FC6"/>
              </w:rPr>
              <w:t>1</w:t>
            </w:r>
          </w:p>
        </w:tc>
        <w:tc>
          <w:tcPr>
            <w:tcW w:w="558" w:type="dxa"/>
            <w:shd w:val="clear" w:color="auto" w:fill="auto"/>
            <w:vAlign w:val="center"/>
          </w:tcPr>
          <w:p w:rsidR="004E4AF8" w:rsidRDefault="00D62302">
            <w:pPr>
              <w:spacing w:line="259" w:lineRule="auto"/>
              <w:jc w:val="center"/>
              <w:rPr>
                <w:color w:val="0F6FC6"/>
              </w:rPr>
            </w:pPr>
            <w:r>
              <w:rPr>
                <w:color w:val="0F6FC6"/>
              </w:rPr>
              <w:t>2</w:t>
            </w:r>
          </w:p>
        </w:tc>
        <w:tc>
          <w:tcPr>
            <w:tcW w:w="1802" w:type="dxa"/>
            <w:shd w:val="clear" w:color="auto" w:fill="92D050"/>
            <w:vAlign w:val="center"/>
          </w:tcPr>
          <w:p w:rsidR="004E4AF8" w:rsidRDefault="00D62302">
            <w:pPr>
              <w:spacing w:line="259" w:lineRule="auto"/>
              <w:jc w:val="center"/>
              <w:rPr>
                <w:color w:val="0F6FC6"/>
              </w:rPr>
            </w:pPr>
            <w:r>
              <w:rPr>
                <w:color w:val="0F6FC6"/>
              </w:rPr>
              <w:t>2</w:t>
            </w:r>
          </w:p>
        </w:tc>
      </w:tr>
      <w:tr w:rsidR="004E4AF8">
        <w:trPr>
          <w:trHeight w:val="375"/>
        </w:trPr>
        <w:tc>
          <w:tcPr>
            <w:tcW w:w="631" w:type="dxa"/>
            <w:shd w:val="clear" w:color="auto" w:fill="auto"/>
            <w:vAlign w:val="center"/>
          </w:tcPr>
          <w:p w:rsidR="004E4AF8" w:rsidRDefault="00D62302">
            <w:pPr>
              <w:spacing w:line="259" w:lineRule="auto"/>
              <w:jc w:val="center"/>
              <w:rPr>
                <w:color w:val="0F6FC6"/>
              </w:rPr>
            </w:pPr>
            <w:r>
              <w:rPr>
                <w:color w:val="0F6FC6"/>
              </w:rPr>
              <w:t>R02</w:t>
            </w:r>
          </w:p>
        </w:tc>
        <w:tc>
          <w:tcPr>
            <w:tcW w:w="3445" w:type="dxa"/>
            <w:shd w:val="clear" w:color="auto" w:fill="auto"/>
            <w:vAlign w:val="center"/>
          </w:tcPr>
          <w:p w:rsidR="004E4AF8" w:rsidRDefault="00D62302">
            <w:pPr>
              <w:spacing w:line="259" w:lineRule="auto"/>
              <w:rPr>
                <w:color w:val="0F6FC6"/>
              </w:rPr>
            </w:pPr>
            <w:r>
              <w:rPr>
                <w:color w:val="0F6FC6"/>
              </w:rPr>
              <w:t>Não elaboração do Roteiro Próprio de Métricas de</w:t>
            </w:r>
            <w:r>
              <w:rPr>
                <w:color w:val="0F6FC6"/>
              </w:rPr>
              <w:br/>
              <w:t>Software</w:t>
            </w:r>
          </w:p>
        </w:tc>
        <w:tc>
          <w:tcPr>
            <w:tcW w:w="2631" w:type="dxa"/>
            <w:shd w:val="clear" w:color="auto" w:fill="auto"/>
            <w:vAlign w:val="center"/>
          </w:tcPr>
          <w:p w:rsidR="004E4AF8" w:rsidRDefault="00D62302">
            <w:pPr>
              <w:spacing w:line="259" w:lineRule="auto"/>
              <w:jc w:val="center"/>
              <w:rPr>
                <w:color w:val="0F6FC6"/>
              </w:rPr>
            </w:pPr>
            <w:r>
              <w:rPr>
                <w:color w:val="0F6FC6"/>
              </w:rPr>
              <w:t>Planejamento da</w:t>
            </w:r>
          </w:p>
          <w:p w:rsidR="004E4AF8" w:rsidRDefault="00D62302">
            <w:pPr>
              <w:spacing w:line="259" w:lineRule="auto"/>
              <w:jc w:val="center"/>
              <w:rPr>
                <w:color w:val="0F6FC6"/>
              </w:rPr>
            </w:pPr>
            <w:r>
              <w:rPr>
                <w:color w:val="0F6FC6"/>
              </w:rPr>
              <w:t>Contratação</w:t>
            </w:r>
          </w:p>
        </w:tc>
        <w:tc>
          <w:tcPr>
            <w:tcW w:w="561" w:type="dxa"/>
            <w:shd w:val="clear" w:color="auto" w:fill="auto"/>
            <w:vAlign w:val="center"/>
          </w:tcPr>
          <w:p w:rsidR="004E4AF8" w:rsidRDefault="00D62302">
            <w:pPr>
              <w:spacing w:line="259" w:lineRule="auto"/>
              <w:jc w:val="center"/>
              <w:rPr>
                <w:color w:val="0F6FC6"/>
              </w:rPr>
            </w:pPr>
            <w:r>
              <w:rPr>
                <w:color w:val="0F6FC6"/>
              </w:rPr>
              <w:t>3</w:t>
            </w:r>
          </w:p>
        </w:tc>
        <w:tc>
          <w:tcPr>
            <w:tcW w:w="558" w:type="dxa"/>
            <w:shd w:val="clear" w:color="auto" w:fill="auto"/>
            <w:vAlign w:val="center"/>
          </w:tcPr>
          <w:p w:rsidR="004E4AF8" w:rsidRDefault="00D62302">
            <w:pPr>
              <w:spacing w:line="259" w:lineRule="auto"/>
              <w:jc w:val="center"/>
              <w:rPr>
                <w:color w:val="0F6FC6"/>
              </w:rPr>
            </w:pPr>
            <w:r>
              <w:rPr>
                <w:color w:val="0F6FC6"/>
              </w:rPr>
              <w:t>2</w:t>
            </w:r>
          </w:p>
        </w:tc>
        <w:tc>
          <w:tcPr>
            <w:tcW w:w="1802" w:type="dxa"/>
            <w:shd w:val="clear" w:color="auto" w:fill="FFFF00"/>
            <w:vAlign w:val="center"/>
          </w:tcPr>
          <w:p w:rsidR="004E4AF8" w:rsidRDefault="00D62302">
            <w:pPr>
              <w:spacing w:line="259" w:lineRule="auto"/>
              <w:jc w:val="center"/>
              <w:rPr>
                <w:color w:val="0F6FC6"/>
              </w:rPr>
            </w:pPr>
            <w:r>
              <w:rPr>
                <w:color w:val="0F6FC6"/>
              </w:rPr>
              <w:t>6</w:t>
            </w:r>
          </w:p>
        </w:tc>
      </w:tr>
      <w:tr w:rsidR="004E4AF8">
        <w:trPr>
          <w:trHeight w:val="375"/>
        </w:trPr>
        <w:tc>
          <w:tcPr>
            <w:tcW w:w="631" w:type="dxa"/>
            <w:shd w:val="clear" w:color="auto" w:fill="auto"/>
            <w:vAlign w:val="center"/>
          </w:tcPr>
          <w:p w:rsidR="004E4AF8" w:rsidRDefault="00D62302">
            <w:pPr>
              <w:spacing w:line="259" w:lineRule="auto"/>
              <w:jc w:val="center"/>
              <w:rPr>
                <w:color w:val="0F6FC6"/>
              </w:rPr>
            </w:pPr>
            <w:r>
              <w:rPr>
                <w:color w:val="0F6FC6"/>
              </w:rPr>
              <w:t>R03</w:t>
            </w:r>
          </w:p>
        </w:tc>
        <w:tc>
          <w:tcPr>
            <w:tcW w:w="3445" w:type="dxa"/>
            <w:shd w:val="clear" w:color="auto" w:fill="auto"/>
            <w:vAlign w:val="center"/>
          </w:tcPr>
          <w:p w:rsidR="004E4AF8" w:rsidRDefault="00D62302">
            <w:pPr>
              <w:spacing w:line="259" w:lineRule="auto"/>
              <w:rPr>
                <w:color w:val="0F6FC6"/>
              </w:rPr>
            </w:pPr>
            <w:r>
              <w:rPr>
                <w:color w:val="0F6FC6"/>
              </w:rPr>
              <w:t>Falta de clareza pelo demandante quanto às demandas a</w:t>
            </w:r>
            <w:r>
              <w:rPr>
                <w:color w:val="0F6FC6"/>
              </w:rPr>
              <w:br/>
            </w:r>
            <w:r>
              <w:rPr>
                <w:color w:val="0F6FC6"/>
              </w:rPr>
              <w:t>serem desenvolvidas e mantidas</w:t>
            </w:r>
          </w:p>
        </w:tc>
        <w:tc>
          <w:tcPr>
            <w:tcW w:w="2631" w:type="dxa"/>
            <w:shd w:val="clear" w:color="auto" w:fill="auto"/>
            <w:vAlign w:val="center"/>
          </w:tcPr>
          <w:p w:rsidR="004E4AF8" w:rsidRDefault="00D62302">
            <w:pPr>
              <w:spacing w:line="259" w:lineRule="auto"/>
              <w:jc w:val="center"/>
              <w:rPr>
                <w:color w:val="0F6FC6"/>
              </w:rPr>
            </w:pPr>
            <w:r>
              <w:rPr>
                <w:color w:val="0F6FC6"/>
              </w:rPr>
              <w:t>Planejamento da</w:t>
            </w:r>
          </w:p>
          <w:p w:rsidR="004E4AF8" w:rsidRDefault="00D62302">
            <w:pPr>
              <w:spacing w:line="259" w:lineRule="auto"/>
              <w:jc w:val="center"/>
              <w:rPr>
                <w:color w:val="0F6FC6"/>
              </w:rPr>
            </w:pPr>
            <w:r>
              <w:rPr>
                <w:color w:val="0F6FC6"/>
              </w:rPr>
              <w:t>Contratação</w:t>
            </w:r>
          </w:p>
        </w:tc>
        <w:tc>
          <w:tcPr>
            <w:tcW w:w="561" w:type="dxa"/>
            <w:shd w:val="clear" w:color="auto" w:fill="auto"/>
            <w:vAlign w:val="center"/>
          </w:tcPr>
          <w:p w:rsidR="004E4AF8" w:rsidRDefault="00D62302">
            <w:pPr>
              <w:spacing w:line="259" w:lineRule="auto"/>
              <w:jc w:val="center"/>
              <w:rPr>
                <w:color w:val="0F6FC6"/>
              </w:rPr>
            </w:pPr>
            <w:r>
              <w:rPr>
                <w:color w:val="0F6FC6"/>
              </w:rPr>
              <w:t>4</w:t>
            </w:r>
          </w:p>
        </w:tc>
        <w:tc>
          <w:tcPr>
            <w:tcW w:w="558" w:type="dxa"/>
            <w:shd w:val="clear" w:color="auto" w:fill="auto"/>
            <w:vAlign w:val="center"/>
          </w:tcPr>
          <w:p w:rsidR="004E4AF8" w:rsidRDefault="00D62302">
            <w:pPr>
              <w:spacing w:line="259" w:lineRule="auto"/>
              <w:jc w:val="center"/>
              <w:rPr>
                <w:color w:val="0F6FC6"/>
              </w:rPr>
            </w:pPr>
            <w:r>
              <w:rPr>
                <w:color w:val="0F6FC6"/>
              </w:rPr>
              <w:t>4</w:t>
            </w:r>
          </w:p>
        </w:tc>
        <w:tc>
          <w:tcPr>
            <w:tcW w:w="1802" w:type="dxa"/>
            <w:shd w:val="clear" w:color="auto" w:fill="FF0000"/>
            <w:vAlign w:val="center"/>
          </w:tcPr>
          <w:p w:rsidR="004E4AF8" w:rsidRDefault="00D62302">
            <w:pPr>
              <w:spacing w:line="259" w:lineRule="auto"/>
              <w:jc w:val="center"/>
              <w:rPr>
                <w:color w:val="0F6FC6"/>
              </w:rPr>
            </w:pPr>
            <w:r>
              <w:rPr>
                <w:color w:val="0F6FC6"/>
              </w:rPr>
              <w:t>16</w:t>
            </w:r>
          </w:p>
        </w:tc>
      </w:tr>
      <w:tr w:rsidR="004E4AF8">
        <w:trPr>
          <w:trHeight w:val="375"/>
        </w:trPr>
        <w:tc>
          <w:tcPr>
            <w:tcW w:w="631" w:type="dxa"/>
            <w:shd w:val="clear" w:color="auto" w:fill="auto"/>
            <w:vAlign w:val="center"/>
          </w:tcPr>
          <w:p w:rsidR="004E4AF8" w:rsidRDefault="00D62302">
            <w:pPr>
              <w:spacing w:line="259" w:lineRule="auto"/>
              <w:jc w:val="center"/>
              <w:rPr>
                <w:color w:val="0F6FC6"/>
              </w:rPr>
            </w:pPr>
            <w:r>
              <w:rPr>
                <w:color w:val="0F6FC6"/>
              </w:rPr>
              <w:t>R04</w:t>
            </w:r>
          </w:p>
        </w:tc>
        <w:tc>
          <w:tcPr>
            <w:tcW w:w="3445" w:type="dxa"/>
            <w:shd w:val="clear" w:color="auto" w:fill="auto"/>
            <w:vAlign w:val="center"/>
          </w:tcPr>
          <w:p w:rsidR="004E4AF8" w:rsidRDefault="00D62302">
            <w:pPr>
              <w:spacing w:line="259" w:lineRule="auto"/>
              <w:rPr>
                <w:color w:val="0F6FC6"/>
              </w:rPr>
            </w:pPr>
            <w:r>
              <w:rPr>
                <w:color w:val="0F6FC6"/>
              </w:rPr>
              <w:t>Atraso no processo administrativo de contratação</w:t>
            </w:r>
          </w:p>
        </w:tc>
        <w:tc>
          <w:tcPr>
            <w:tcW w:w="2631" w:type="dxa"/>
            <w:shd w:val="clear" w:color="auto" w:fill="auto"/>
            <w:vAlign w:val="center"/>
          </w:tcPr>
          <w:p w:rsidR="004E4AF8" w:rsidRDefault="00D62302">
            <w:pPr>
              <w:spacing w:line="259" w:lineRule="auto"/>
              <w:jc w:val="center"/>
              <w:rPr>
                <w:color w:val="0F6FC6"/>
              </w:rPr>
            </w:pPr>
            <w:r>
              <w:rPr>
                <w:color w:val="0F6FC6"/>
              </w:rPr>
              <w:t>Planejamento da</w:t>
            </w:r>
          </w:p>
          <w:p w:rsidR="004E4AF8" w:rsidRDefault="00D62302">
            <w:pPr>
              <w:spacing w:line="259" w:lineRule="auto"/>
              <w:jc w:val="center"/>
              <w:rPr>
                <w:color w:val="0F6FC6"/>
              </w:rPr>
            </w:pPr>
            <w:r>
              <w:rPr>
                <w:color w:val="0F6FC6"/>
              </w:rPr>
              <w:t>Contratação</w:t>
            </w:r>
          </w:p>
        </w:tc>
        <w:tc>
          <w:tcPr>
            <w:tcW w:w="561" w:type="dxa"/>
            <w:shd w:val="clear" w:color="auto" w:fill="auto"/>
            <w:vAlign w:val="center"/>
          </w:tcPr>
          <w:p w:rsidR="004E4AF8" w:rsidRDefault="00D62302">
            <w:pPr>
              <w:spacing w:line="259" w:lineRule="auto"/>
              <w:jc w:val="center"/>
              <w:rPr>
                <w:color w:val="0F6FC6"/>
              </w:rPr>
            </w:pPr>
            <w:r>
              <w:rPr>
                <w:color w:val="0F6FC6"/>
              </w:rPr>
              <w:t>2</w:t>
            </w:r>
          </w:p>
        </w:tc>
        <w:tc>
          <w:tcPr>
            <w:tcW w:w="558" w:type="dxa"/>
            <w:shd w:val="clear" w:color="auto" w:fill="auto"/>
            <w:vAlign w:val="center"/>
          </w:tcPr>
          <w:p w:rsidR="004E4AF8" w:rsidRDefault="00D62302">
            <w:pPr>
              <w:spacing w:line="259" w:lineRule="auto"/>
              <w:jc w:val="center"/>
              <w:rPr>
                <w:color w:val="0F6FC6"/>
              </w:rPr>
            </w:pPr>
            <w:r>
              <w:rPr>
                <w:color w:val="0F6FC6"/>
              </w:rPr>
              <w:t>3</w:t>
            </w:r>
          </w:p>
        </w:tc>
        <w:tc>
          <w:tcPr>
            <w:tcW w:w="1802" w:type="dxa"/>
            <w:shd w:val="clear" w:color="auto" w:fill="FFFF00"/>
            <w:vAlign w:val="center"/>
          </w:tcPr>
          <w:p w:rsidR="004E4AF8" w:rsidRDefault="00D62302">
            <w:pPr>
              <w:spacing w:line="259" w:lineRule="auto"/>
              <w:jc w:val="center"/>
              <w:rPr>
                <w:color w:val="0F6FC6"/>
              </w:rPr>
            </w:pPr>
            <w:r>
              <w:rPr>
                <w:color w:val="0F6FC6"/>
              </w:rPr>
              <w:t>6</w:t>
            </w:r>
          </w:p>
        </w:tc>
      </w:tr>
      <w:tr w:rsidR="004E4AF8">
        <w:trPr>
          <w:trHeight w:val="375"/>
        </w:trPr>
        <w:tc>
          <w:tcPr>
            <w:tcW w:w="631" w:type="dxa"/>
            <w:shd w:val="clear" w:color="auto" w:fill="auto"/>
            <w:vAlign w:val="center"/>
          </w:tcPr>
          <w:p w:rsidR="004E4AF8" w:rsidRDefault="00D62302">
            <w:pPr>
              <w:spacing w:line="259" w:lineRule="auto"/>
              <w:jc w:val="center"/>
              <w:rPr>
                <w:color w:val="0F6FC6"/>
              </w:rPr>
            </w:pPr>
            <w:r>
              <w:rPr>
                <w:color w:val="0F6FC6"/>
              </w:rPr>
              <w:t>R05</w:t>
            </w:r>
          </w:p>
        </w:tc>
        <w:tc>
          <w:tcPr>
            <w:tcW w:w="3445" w:type="dxa"/>
            <w:shd w:val="clear" w:color="auto" w:fill="auto"/>
            <w:vAlign w:val="center"/>
          </w:tcPr>
          <w:p w:rsidR="004E4AF8" w:rsidRDefault="00D62302">
            <w:pPr>
              <w:spacing w:line="259" w:lineRule="auto"/>
              <w:rPr>
                <w:color w:val="0F6FC6"/>
              </w:rPr>
            </w:pPr>
            <w:r>
              <w:rPr>
                <w:color w:val="0F6FC6"/>
              </w:rPr>
              <w:t>Não publicação do Processo de Desenvolvimento de</w:t>
            </w:r>
            <w:r>
              <w:rPr>
                <w:color w:val="0F6FC6"/>
              </w:rPr>
              <w:br/>
              <w:t>Software</w:t>
            </w:r>
          </w:p>
        </w:tc>
        <w:tc>
          <w:tcPr>
            <w:tcW w:w="2631" w:type="dxa"/>
            <w:shd w:val="clear" w:color="auto" w:fill="auto"/>
            <w:vAlign w:val="center"/>
          </w:tcPr>
          <w:p w:rsidR="004E4AF8" w:rsidRDefault="00D62302">
            <w:pPr>
              <w:spacing w:line="259" w:lineRule="auto"/>
              <w:jc w:val="center"/>
              <w:rPr>
                <w:color w:val="0F6FC6"/>
              </w:rPr>
            </w:pPr>
            <w:r>
              <w:rPr>
                <w:color w:val="0F6FC6"/>
              </w:rPr>
              <w:t>Planejamento da</w:t>
            </w:r>
          </w:p>
          <w:p w:rsidR="004E4AF8" w:rsidRDefault="00D62302">
            <w:pPr>
              <w:spacing w:line="259" w:lineRule="auto"/>
              <w:jc w:val="center"/>
              <w:rPr>
                <w:color w:val="0F6FC6"/>
              </w:rPr>
            </w:pPr>
            <w:r>
              <w:rPr>
                <w:color w:val="0F6FC6"/>
              </w:rPr>
              <w:t>Contratação</w:t>
            </w:r>
          </w:p>
        </w:tc>
        <w:tc>
          <w:tcPr>
            <w:tcW w:w="561" w:type="dxa"/>
            <w:shd w:val="clear" w:color="auto" w:fill="auto"/>
            <w:vAlign w:val="center"/>
          </w:tcPr>
          <w:p w:rsidR="004E4AF8" w:rsidRDefault="00D62302">
            <w:pPr>
              <w:spacing w:line="259" w:lineRule="auto"/>
              <w:jc w:val="center"/>
              <w:rPr>
                <w:color w:val="0F6FC6"/>
              </w:rPr>
            </w:pPr>
            <w:r>
              <w:rPr>
                <w:color w:val="0F6FC6"/>
              </w:rPr>
              <w:t>1</w:t>
            </w:r>
          </w:p>
        </w:tc>
        <w:tc>
          <w:tcPr>
            <w:tcW w:w="558" w:type="dxa"/>
            <w:shd w:val="clear" w:color="auto" w:fill="auto"/>
            <w:vAlign w:val="center"/>
          </w:tcPr>
          <w:p w:rsidR="004E4AF8" w:rsidRDefault="00D62302">
            <w:pPr>
              <w:spacing w:line="259" w:lineRule="auto"/>
              <w:jc w:val="center"/>
              <w:rPr>
                <w:color w:val="0F6FC6"/>
              </w:rPr>
            </w:pPr>
            <w:r>
              <w:rPr>
                <w:color w:val="0F6FC6"/>
              </w:rPr>
              <w:t>2</w:t>
            </w:r>
          </w:p>
        </w:tc>
        <w:tc>
          <w:tcPr>
            <w:tcW w:w="1802" w:type="dxa"/>
            <w:shd w:val="clear" w:color="auto" w:fill="92D050"/>
            <w:vAlign w:val="center"/>
          </w:tcPr>
          <w:p w:rsidR="004E4AF8" w:rsidRDefault="00D62302">
            <w:pPr>
              <w:spacing w:line="259" w:lineRule="auto"/>
              <w:jc w:val="center"/>
              <w:rPr>
                <w:color w:val="0F6FC6"/>
              </w:rPr>
            </w:pPr>
            <w:r>
              <w:rPr>
                <w:color w:val="0F6FC6"/>
              </w:rPr>
              <w:t>2</w:t>
            </w:r>
          </w:p>
        </w:tc>
      </w:tr>
    </w:tbl>
    <w:p w:rsidR="004E4AF8" w:rsidRDefault="004E4AF8">
      <w:pPr>
        <w:spacing w:after="0" w:line="240" w:lineRule="auto"/>
        <w:jc w:val="left"/>
        <w:rPr>
          <w:sz w:val="14"/>
          <w:szCs w:val="14"/>
        </w:rPr>
      </w:pPr>
    </w:p>
    <w:tbl>
      <w:tblPr>
        <w:tblStyle w:val="affffffffffffffffff9"/>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714"/>
        <w:gridCol w:w="444"/>
        <w:gridCol w:w="1654"/>
        <w:gridCol w:w="4189"/>
        <w:gridCol w:w="2627"/>
      </w:tblGrid>
      <w:tr w:rsidR="004E4AF8">
        <w:tc>
          <w:tcPr>
            <w:tcW w:w="9628" w:type="dxa"/>
            <w:gridSpan w:val="5"/>
            <w:tcBorders>
              <w:bottom w:val="single" w:sz="4" w:space="0" w:color="000000"/>
            </w:tcBorders>
            <w:shd w:val="clear" w:color="auto" w:fill="BFBFBF"/>
          </w:tcPr>
          <w:p w:rsidR="004E4AF8" w:rsidRDefault="00D62302">
            <w:pPr>
              <w:spacing w:line="259" w:lineRule="auto"/>
              <w:rPr>
                <w:b/>
              </w:rPr>
            </w:pPr>
            <w:r>
              <w:rPr>
                <w:b/>
              </w:rPr>
              <w:t>2 – AVALIAÇÃO E TRATAMENTO DOS RISCOS IDENTIFICADOS</w:t>
            </w:r>
          </w:p>
        </w:tc>
      </w:tr>
      <w:tr w:rsidR="004E4AF8">
        <w:trPr>
          <w:trHeight w:val="375"/>
        </w:trPr>
        <w:tc>
          <w:tcPr>
            <w:tcW w:w="9628" w:type="dxa"/>
            <w:gridSpan w:val="5"/>
            <w:shd w:val="clear" w:color="auto" w:fill="auto"/>
          </w:tcPr>
          <w:p w:rsidR="004E4AF8" w:rsidRDefault="00D62302">
            <w:pPr>
              <w:rPr>
                <w:sz w:val="20"/>
                <w:szCs w:val="20"/>
              </w:rPr>
            </w:pPr>
            <w:r>
              <w:rPr>
                <w:sz w:val="20"/>
                <w:szCs w:val="20"/>
              </w:rPr>
              <w:t>&lt;</w:t>
            </w:r>
            <w:r>
              <w:rPr>
                <w:color w:val="0F6FC6"/>
                <w:sz w:val="20"/>
                <w:szCs w:val="20"/>
              </w:rPr>
              <w:t>Riscos do processo de contratação (planejamento, seleção de fornecedores e gestão do contrato), ou qualquer outro risco relevante relacionado à solução de Tecnologia da Informação e Comunicação identifi</w:t>
            </w:r>
            <w:r>
              <w:rPr>
                <w:color w:val="0F6FC6"/>
                <w:sz w:val="20"/>
                <w:szCs w:val="20"/>
              </w:rPr>
              <w:t xml:space="preserve">cados. </w:t>
            </w:r>
            <w:r>
              <w:rPr>
                <w:sz w:val="20"/>
                <w:szCs w:val="20"/>
              </w:rPr>
              <w:t>&gt;</w:t>
            </w:r>
          </w:p>
          <w:p w:rsidR="004E4AF8" w:rsidRDefault="00D62302">
            <w:pPr>
              <w:rPr>
                <w:color w:val="2191C9"/>
                <w:sz w:val="20"/>
                <w:szCs w:val="20"/>
              </w:rPr>
            </w:pPr>
            <w:r>
              <w:rPr>
                <w:sz w:val="20"/>
                <w:szCs w:val="20"/>
              </w:rPr>
              <w:t>&lt;</w:t>
            </w:r>
            <w:r>
              <w:rPr>
                <w:color w:val="0F6FC6"/>
                <w:sz w:val="20"/>
                <w:szCs w:val="20"/>
              </w:rPr>
              <w:t>Para o tratamento de riscos, as seguintes opções podem ser selecionadas: evitar, reduzir ou mitigar, transferir ou compartilhar, e aceitar ou tolerar o risco.</w:t>
            </w:r>
            <w:r>
              <w:rPr>
                <w:sz w:val="20"/>
                <w:szCs w:val="20"/>
              </w:rPr>
              <w:t>&gt;</w:t>
            </w:r>
          </w:p>
          <w:p w:rsidR="004E4AF8" w:rsidRDefault="00D62302">
            <w:pPr>
              <w:rPr>
                <w:b/>
                <w:sz w:val="20"/>
                <w:szCs w:val="20"/>
              </w:rPr>
            </w:pPr>
            <w:r>
              <w:rPr>
                <w:sz w:val="20"/>
                <w:szCs w:val="20"/>
              </w:rPr>
              <w:t>&lt;</w:t>
            </w:r>
            <w:r>
              <w:rPr>
                <w:color w:val="0F6FC6"/>
                <w:sz w:val="20"/>
                <w:szCs w:val="20"/>
              </w:rPr>
              <w:t>A seguir são apresentados alguns riscos meramente exemplificativos.</w:t>
            </w:r>
            <w:r>
              <w:rPr>
                <w:sz w:val="20"/>
                <w:szCs w:val="20"/>
              </w:rPr>
              <w:t>&gt;</w:t>
            </w:r>
          </w:p>
        </w:tc>
      </w:tr>
      <w:tr w:rsidR="004E4AF8">
        <w:trPr>
          <w:trHeight w:val="375"/>
        </w:trPr>
        <w:tc>
          <w:tcPr>
            <w:tcW w:w="714" w:type="dxa"/>
            <w:vMerge w:val="restart"/>
            <w:shd w:val="clear" w:color="auto" w:fill="F2F2F2"/>
            <w:vAlign w:val="center"/>
          </w:tcPr>
          <w:p w:rsidR="004E4AF8" w:rsidRDefault="00D62302">
            <w:pPr>
              <w:spacing w:line="259" w:lineRule="auto"/>
              <w:ind w:left="113" w:right="113"/>
              <w:jc w:val="center"/>
              <w:rPr>
                <w:b/>
              </w:rPr>
            </w:pPr>
            <w:r>
              <w:rPr>
                <w:b/>
              </w:rPr>
              <w:t>Risco 01</w:t>
            </w:r>
          </w:p>
        </w:tc>
        <w:tc>
          <w:tcPr>
            <w:tcW w:w="2098" w:type="dxa"/>
            <w:gridSpan w:val="2"/>
            <w:shd w:val="clear" w:color="auto" w:fill="F2F2F2"/>
            <w:vAlign w:val="center"/>
          </w:tcPr>
          <w:p w:rsidR="004E4AF8" w:rsidRDefault="00D62302">
            <w:pPr>
              <w:spacing w:line="259" w:lineRule="auto"/>
              <w:jc w:val="center"/>
              <w:rPr>
                <w:b/>
              </w:rPr>
            </w:pPr>
            <w:r>
              <w:rPr>
                <w:b/>
              </w:rPr>
              <w:t>Risco</w:t>
            </w:r>
          </w:p>
        </w:tc>
        <w:tc>
          <w:tcPr>
            <w:tcW w:w="6816" w:type="dxa"/>
            <w:gridSpan w:val="2"/>
            <w:shd w:val="clear" w:color="auto" w:fill="FFFFFF"/>
            <w:vAlign w:val="center"/>
          </w:tcPr>
          <w:p w:rsidR="004E4AF8" w:rsidRDefault="00D62302">
            <w:pPr>
              <w:spacing w:line="259" w:lineRule="auto"/>
              <w:rPr>
                <w:color w:val="0F6FC6"/>
                <w:vertAlign w:val="superscript"/>
              </w:rPr>
            </w:pPr>
            <w:r>
              <w:rPr>
                <w:color w:val="0F6FC6"/>
              </w:rPr>
              <w:t>Atraso ou suspensão no processo licitatório em face de impugnações.</w:t>
            </w:r>
          </w:p>
        </w:tc>
      </w:tr>
      <w:tr w:rsidR="004E4AF8">
        <w:trPr>
          <w:trHeight w:val="375"/>
        </w:trPr>
        <w:tc>
          <w:tcPr>
            <w:tcW w:w="714" w:type="dxa"/>
            <w:vMerge/>
            <w:shd w:val="clear" w:color="auto" w:fill="F2F2F2"/>
            <w:vAlign w:val="center"/>
          </w:tcPr>
          <w:p w:rsidR="004E4AF8" w:rsidRDefault="004E4AF8">
            <w:pPr>
              <w:widowControl w:val="0"/>
              <w:pBdr>
                <w:top w:val="nil"/>
                <w:left w:val="nil"/>
                <w:bottom w:val="nil"/>
                <w:right w:val="nil"/>
                <w:between w:val="nil"/>
              </w:pBdr>
              <w:spacing w:line="276" w:lineRule="auto"/>
              <w:jc w:val="left"/>
              <w:rPr>
                <w:color w:val="0F6FC6"/>
                <w:vertAlign w:val="superscript"/>
              </w:rPr>
            </w:pPr>
          </w:p>
        </w:tc>
        <w:tc>
          <w:tcPr>
            <w:tcW w:w="2098" w:type="dxa"/>
            <w:gridSpan w:val="2"/>
            <w:shd w:val="clear" w:color="auto" w:fill="F2F2F2"/>
            <w:vAlign w:val="center"/>
          </w:tcPr>
          <w:p w:rsidR="004E4AF8" w:rsidRDefault="00D62302">
            <w:pPr>
              <w:spacing w:line="259" w:lineRule="auto"/>
              <w:jc w:val="center"/>
              <w:rPr>
                <w:b/>
              </w:rPr>
            </w:pPr>
            <w:r>
              <w:rPr>
                <w:b/>
              </w:rPr>
              <w:t>Probabilidade</w:t>
            </w:r>
          </w:p>
        </w:tc>
        <w:tc>
          <w:tcPr>
            <w:tcW w:w="6816" w:type="dxa"/>
            <w:gridSpan w:val="2"/>
            <w:shd w:val="clear" w:color="auto" w:fill="auto"/>
            <w:vAlign w:val="center"/>
          </w:tcPr>
          <w:p w:rsidR="004E4AF8" w:rsidRDefault="00D62302">
            <w:pPr>
              <w:spacing w:line="259" w:lineRule="auto"/>
              <w:rPr>
                <w:color w:val="0F6FC6"/>
              </w:rPr>
            </w:pPr>
            <w:r>
              <w:rPr>
                <w:color w:val="0F6FC6"/>
              </w:rPr>
              <w:t>Alta</w:t>
            </w:r>
          </w:p>
        </w:tc>
      </w:tr>
      <w:tr w:rsidR="004E4AF8">
        <w:trPr>
          <w:trHeight w:val="375"/>
        </w:trPr>
        <w:tc>
          <w:tcPr>
            <w:tcW w:w="714" w:type="dxa"/>
            <w:vMerge/>
            <w:shd w:val="clear" w:color="auto" w:fill="F2F2F2"/>
            <w:vAlign w:val="center"/>
          </w:tcPr>
          <w:p w:rsidR="004E4AF8" w:rsidRDefault="004E4AF8">
            <w:pPr>
              <w:widowControl w:val="0"/>
              <w:pBdr>
                <w:top w:val="nil"/>
                <w:left w:val="nil"/>
                <w:bottom w:val="nil"/>
                <w:right w:val="nil"/>
                <w:between w:val="nil"/>
              </w:pBdr>
              <w:spacing w:line="276" w:lineRule="auto"/>
              <w:jc w:val="left"/>
              <w:rPr>
                <w:color w:val="0F6FC6"/>
              </w:rPr>
            </w:pPr>
          </w:p>
        </w:tc>
        <w:tc>
          <w:tcPr>
            <w:tcW w:w="2098" w:type="dxa"/>
            <w:gridSpan w:val="2"/>
            <w:shd w:val="clear" w:color="auto" w:fill="F2F2F2"/>
            <w:vAlign w:val="center"/>
          </w:tcPr>
          <w:p w:rsidR="004E4AF8" w:rsidRDefault="00D62302">
            <w:pPr>
              <w:spacing w:line="259" w:lineRule="auto"/>
              <w:jc w:val="center"/>
              <w:rPr>
                <w:b/>
              </w:rPr>
            </w:pPr>
            <w:r>
              <w:rPr>
                <w:b/>
              </w:rPr>
              <w:t>Impacto</w:t>
            </w:r>
          </w:p>
        </w:tc>
        <w:tc>
          <w:tcPr>
            <w:tcW w:w="6816" w:type="dxa"/>
            <w:gridSpan w:val="2"/>
            <w:shd w:val="clear" w:color="auto" w:fill="auto"/>
            <w:vAlign w:val="center"/>
          </w:tcPr>
          <w:p w:rsidR="004E4AF8" w:rsidRDefault="00D62302">
            <w:pPr>
              <w:spacing w:line="259" w:lineRule="auto"/>
              <w:rPr>
                <w:color w:val="0F6FC6"/>
              </w:rPr>
            </w:pPr>
            <w:r>
              <w:rPr>
                <w:color w:val="0F6FC6"/>
              </w:rPr>
              <w:t>Médio</w:t>
            </w:r>
          </w:p>
        </w:tc>
      </w:tr>
      <w:tr w:rsidR="004E4AF8">
        <w:trPr>
          <w:trHeight w:val="375"/>
        </w:trPr>
        <w:tc>
          <w:tcPr>
            <w:tcW w:w="714" w:type="dxa"/>
            <w:vMerge/>
            <w:shd w:val="clear" w:color="auto" w:fill="F2F2F2"/>
            <w:vAlign w:val="center"/>
          </w:tcPr>
          <w:p w:rsidR="004E4AF8" w:rsidRDefault="004E4AF8">
            <w:pPr>
              <w:widowControl w:val="0"/>
              <w:pBdr>
                <w:top w:val="nil"/>
                <w:left w:val="nil"/>
                <w:bottom w:val="nil"/>
                <w:right w:val="nil"/>
                <w:between w:val="nil"/>
              </w:pBdr>
              <w:spacing w:line="276" w:lineRule="auto"/>
              <w:jc w:val="left"/>
              <w:rPr>
                <w:color w:val="0F6FC6"/>
              </w:rPr>
            </w:pPr>
          </w:p>
        </w:tc>
        <w:tc>
          <w:tcPr>
            <w:tcW w:w="2098" w:type="dxa"/>
            <w:gridSpan w:val="2"/>
            <w:shd w:val="clear" w:color="auto" w:fill="F2F2F2"/>
            <w:vAlign w:val="center"/>
          </w:tcPr>
          <w:p w:rsidR="004E4AF8" w:rsidRDefault="00D62302">
            <w:pPr>
              <w:spacing w:line="259" w:lineRule="auto"/>
              <w:jc w:val="center"/>
              <w:rPr>
                <w:b/>
              </w:rPr>
            </w:pPr>
            <w:r>
              <w:rPr>
                <w:b/>
              </w:rPr>
              <w:t>Dano1</w:t>
            </w:r>
          </w:p>
        </w:tc>
        <w:tc>
          <w:tcPr>
            <w:tcW w:w="6816" w:type="dxa"/>
            <w:gridSpan w:val="2"/>
            <w:shd w:val="clear" w:color="auto" w:fill="auto"/>
            <w:vAlign w:val="center"/>
          </w:tcPr>
          <w:p w:rsidR="004E4AF8" w:rsidRDefault="00D62302">
            <w:pPr>
              <w:spacing w:line="259" w:lineRule="auto"/>
              <w:rPr>
                <w:color w:val="0F6FC6"/>
              </w:rPr>
            </w:pPr>
            <w:r>
              <w:rPr>
                <w:color w:val="0F6FC6"/>
              </w:rPr>
              <w:t>Atraso na contratação e consequente indisponibilidade de sistemas por falta de manutenção em funcionalidades, acarretando a insatisfação e prejuízos aos usuários dos sistemas.</w:t>
            </w:r>
          </w:p>
        </w:tc>
      </w:tr>
      <w:tr w:rsidR="004E4AF8">
        <w:trPr>
          <w:trHeight w:val="375"/>
        </w:trPr>
        <w:tc>
          <w:tcPr>
            <w:tcW w:w="714" w:type="dxa"/>
            <w:vMerge/>
            <w:shd w:val="clear" w:color="auto" w:fill="F2F2F2"/>
            <w:vAlign w:val="center"/>
          </w:tcPr>
          <w:p w:rsidR="004E4AF8" w:rsidRDefault="004E4AF8">
            <w:pPr>
              <w:widowControl w:val="0"/>
              <w:pBdr>
                <w:top w:val="nil"/>
                <w:left w:val="nil"/>
                <w:bottom w:val="nil"/>
                <w:right w:val="nil"/>
                <w:between w:val="nil"/>
              </w:pBdr>
              <w:spacing w:line="276" w:lineRule="auto"/>
              <w:jc w:val="left"/>
              <w:rPr>
                <w:color w:val="0F6FC6"/>
              </w:rPr>
            </w:pPr>
          </w:p>
        </w:tc>
        <w:tc>
          <w:tcPr>
            <w:tcW w:w="2098" w:type="dxa"/>
            <w:gridSpan w:val="2"/>
            <w:shd w:val="clear" w:color="auto" w:fill="F2F2F2"/>
            <w:vAlign w:val="center"/>
          </w:tcPr>
          <w:p w:rsidR="004E4AF8" w:rsidRDefault="00D62302">
            <w:pPr>
              <w:spacing w:line="259" w:lineRule="auto"/>
              <w:jc w:val="center"/>
              <w:rPr>
                <w:b/>
              </w:rPr>
            </w:pPr>
            <w:r>
              <w:rPr>
                <w:b/>
              </w:rPr>
              <w:t>Tratamento</w:t>
            </w:r>
          </w:p>
        </w:tc>
        <w:tc>
          <w:tcPr>
            <w:tcW w:w="6816" w:type="dxa"/>
            <w:gridSpan w:val="2"/>
            <w:shd w:val="clear" w:color="auto" w:fill="auto"/>
            <w:vAlign w:val="center"/>
          </w:tcPr>
          <w:p w:rsidR="004E4AF8" w:rsidRDefault="00D62302">
            <w:pPr>
              <w:spacing w:line="259" w:lineRule="auto"/>
              <w:rPr>
                <w:color w:val="0F6FC6"/>
              </w:rPr>
            </w:pPr>
            <w:r>
              <w:rPr>
                <w:color w:val="0F6FC6"/>
              </w:rPr>
              <w:t>Mitigar</w:t>
            </w:r>
          </w:p>
        </w:tc>
      </w:tr>
      <w:tr w:rsidR="004E4AF8">
        <w:trPr>
          <w:trHeight w:val="375"/>
        </w:trPr>
        <w:tc>
          <w:tcPr>
            <w:tcW w:w="714" w:type="dxa"/>
            <w:vMerge/>
            <w:shd w:val="clear" w:color="auto" w:fill="F2F2F2"/>
            <w:vAlign w:val="center"/>
          </w:tcPr>
          <w:p w:rsidR="004E4AF8" w:rsidRDefault="004E4AF8">
            <w:pPr>
              <w:widowControl w:val="0"/>
              <w:pBdr>
                <w:top w:val="nil"/>
                <w:left w:val="nil"/>
                <w:bottom w:val="nil"/>
                <w:right w:val="nil"/>
                <w:between w:val="nil"/>
              </w:pBdr>
              <w:spacing w:line="276" w:lineRule="auto"/>
              <w:jc w:val="left"/>
              <w:rPr>
                <w:color w:val="0F6FC6"/>
              </w:rPr>
            </w:pPr>
          </w:p>
        </w:tc>
        <w:tc>
          <w:tcPr>
            <w:tcW w:w="444" w:type="dxa"/>
            <w:shd w:val="clear" w:color="auto" w:fill="F2F2F2"/>
            <w:vAlign w:val="center"/>
          </w:tcPr>
          <w:p w:rsidR="004E4AF8" w:rsidRDefault="00D62302">
            <w:pPr>
              <w:spacing w:line="259" w:lineRule="auto"/>
              <w:jc w:val="center"/>
              <w:rPr>
                <w:b/>
              </w:rPr>
            </w:pPr>
            <w:r>
              <w:rPr>
                <w:b/>
              </w:rPr>
              <w:t>Id</w:t>
            </w:r>
          </w:p>
        </w:tc>
        <w:tc>
          <w:tcPr>
            <w:tcW w:w="5843" w:type="dxa"/>
            <w:gridSpan w:val="2"/>
            <w:shd w:val="clear" w:color="auto" w:fill="F2F2F2"/>
            <w:vAlign w:val="center"/>
          </w:tcPr>
          <w:p w:rsidR="004E4AF8" w:rsidRDefault="00D62302">
            <w:pPr>
              <w:spacing w:line="259" w:lineRule="auto"/>
              <w:jc w:val="center"/>
              <w:rPr>
                <w:b/>
              </w:rPr>
            </w:pPr>
            <w:r>
              <w:rPr>
                <w:b/>
              </w:rPr>
              <w:t>Ação Preventiva</w:t>
            </w:r>
          </w:p>
        </w:tc>
        <w:tc>
          <w:tcPr>
            <w:tcW w:w="2627" w:type="dxa"/>
            <w:shd w:val="clear" w:color="auto" w:fill="F2F2F2"/>
            <w:vAlign w:val="center"/>
          </w:tcPr>
          <w:p w:rsidR="004E4AF8" w:rsidRDefault="00D62302">
            <w:pPr>
              <w:spacing w:line="259" w:lineRule="auto"/>
              <w:jc w:val="center"/>
              <w:rPr>
                <w:b/>
              </w:rPr>
            </w:pPr>
            <w:r>
              <w:rPr>
                <w:b/>
              </w:rPr>
              <w:t>Responsável</w:t>
            </w:r>
          </w:p>
        </w:tc>
      </w:tr>
      <w:tr w:rsidR="004E4AF8">
        <w:trPr>
          <w:trHeight w:val="375"/>
        </w:trPr>
        <w:tc>
          <w:tcPr>
            <w:tcW w:w="714" w:type="dxa"/>
            <w:vMerge/>
            <w:shd w:val="clear" w:color="auto" w:fill="F2F2F2"/>
            <w:vAlign w:val="center"/>
          </w:tcPr>
          <w:p w:rsidR="004E4AF8" w:rsidRDefault="004E4AF8">
            <w:pPr>
              <w:widowControl w:val="0"/>
              <w:pBdr>
                <w:top w:val="nil"/>
                <w:left w:val="nil"/>
                <w:bottom w:val="nil"/>
                <w:right w:val="nil"/>
                <w:between w:val="nil"/>
              </w:pBdr>
              <w:spacing w:line="276" w:lineRule="auto"/>
              <w:jc w:val="left"/>
              <w:rPr>
                <w:b/>
              </w:rPr>
            </w:pPr>
          </w:p>
        </w:tc>
        <w:tc>
          <w:tcPr>
            <w:tcW w:w="444" w:type="dxa"/>
            <w:shd w:val="clear" w:color="auto" w:fill="F2F2F2"/>
            <w:vAlign w:val="center"/>
          </w:tcPr>
          <w:p w:rsidR="004E4AF8" w:rsidRDefault="00D62302">
            <w:pPr>
              <w:spacing w:line="259" w:lineRule="auto"/>
              <w:jc w:val="center"/>
              <w:rPr>
                <w:b/>
                <w:color w:val="0F6FC6"/>
              </w:rPr>
            </w:pPr>
            <w:r>
              <w:rPr>
                <w:b/>
                <w:color w:val="0F6FC6"/>
              </w:rPr>
              <w:t>1</w:t>
            </w:r>
          </w:p>
        </w:tc>
        <w:tc>
          <w:tcPr>
            <w:tcW w:w="5843" w:type="dxa"/>
            <w:gridSpan w:val="2"/>
            <w:shd w:val="clear" w:color="auto" w:fill="auto"/>
            <w:vAlign w:val="center"/>
          </w:tcPr>
          <w:p w:rsidR="004E4AF8" w:rsidRDefault="00D62302">
            <w:pPr>
              <w:spacing w:line="259" w:lineRule="auto"/>
              <w:rPr>
                <w:color w:val="0F6FC6"/>
              </w:rPr>
            </w:pPr>
            <w:r>
              <w:rPr>
                <w:color w:val="0F6FC6"/>
              </w:rPr>
              <w:t>Elaboração do planejamento da contratação consultando soluções similares em outros órgãos</w:t>
            </w:r>
          </w:p>
        </w:tc>
        <w:tc>
          <w:tcPr>
            <w:tcW w:w="2627" w:type="dxa"/>
            <w:shd w:val="clear" w:color="auto" w:fill="auto"/>
            <w:vAlign w:val="center"/>
          </w:tcPr>
          <w:p w:rsidR="004E4AF8" w:rsidRDefault="00D62302">
            <w:pPr>
              <w:spacing w:line="259" w:lineRule="auto"/>
              <w:jc w:val="center"/>
              <w:rPr>
                <w:color w:val="0F6FC6"/>
              </w:rPr>
            </w:pPr>
            <w:r>
              <w:rPr>
                <w:color w:val="0F6FC6"/>
              </w:rPr>
              <w:t>Equipe de Planejamento da Contratação</w:t>
            </w:r>
          </w:p>
        </w:tc>
      </w:tr>
      <w:tr w:rsidR="004E4AF8">
        <w:trPr>
          <w:trHeight w:val="375"/>
        </w:trPr>
        <w:tc>
          <w:tcPr>
            <w:tcW w:w="714" w:type="dxa"/>
            <w:vMerge/>
            <w:shd w:val="clear" w:color="auto" w:fill="F2F2F2"/>
            <w:vAlign w:val="center"/>
          </w:tcPr>
          <w:p w:rsidR="004E4AF8" w:rsidRDefault="004E4AF8">
            <w:pPr>
              <w:widowControl w:val="0"/>
              <w:pBdr>
                <w:top w:val="nil"/>
                <w:left w:val="nil"/>
                <w:bottom w:val="nil"/>
                <w:right w:val="nil"/>
                <w:between w:val="nil"/>
              </w:pBdr>
              <w:spacing w:line="276" w:lineRule="auto"/>
              <w:jc w:val="left"/>
              <w:rPr>
                <w:color w:val="0F6FC6"/>
              </w:rPr>
            </w:pPr>
          </w:p>
        </w:tc>
        <w:tc>
          <w:tcPr>
            <w:tcW w:w="444" w:type="dxa"/>
            <w:shd w:val="clear" w:color="auto" w:fill="F2F2F2"/>
            <w:vAlign w:val="center"/>
          </w:tcPr>
          <w:p w:rsidR="004E4AF8" w:rsidRDefault="00D62302">
            <w:pPr>
              <w:spacing w:line="259" w:lineRule="auto"/>
              <w:jc w:val="center"/>
              <w:rPr>
                <w:b/>
                <w:color w:val="0F6FC6"/>
              </w:rPr>
            </w:pPr>
            <w:r>
              <w:rPr>
                <w:b/>
                <w:color w:val="0F6FC6"/>
              </w:rPr>
              <w:t>2</w:t>
            </w:r>
          </w:p>
        </w:tc>
        <w:tc>
          <w:tcPr>
            <w:tcW w:w="5843" w:type="dxa"/>
            <w:gridSpan w:val="2"/>
            <w:shd w:val="clear" w:color="auto" w:fill="auto"/>
            <w:vAlign w:val="center"/>
          </w:tcPr>
          <w:p w:rsidR="004E4AF8" w:rsidRDefault="00D62302">
            <w:pPr>
              <w:spacing w:line="259" w:lineRule="auto"/>
              <w:rPr>
                <w:color w:val="0F6FC6"/>
              </w:rPr>
            </w:pPr>
            <w:r>
              <w:rPr>
                <w:color w:val="0F6FC6"/>
              </w:rPr>
              <w:t>Definição dos critérios de seleção de fornecedores com respaldo na jurisprudência dos órgãos de controle</w:t>
            </w:r>
          </w:p>
        </w:tc>
        <w:tc>
          <w:tcPr>
            <w:tcW w:w="2627" w:type="dxa"/>
            <w:shd w:val="clear" w:color="auto" w:fill="auto"/>
            <w:vAlign w:val="center"/>
          </w:tcPr>
          <w:p w:rsidR="004E4AF8" w:rsidRDefault="00D62302">
            <w:pPr>
              <w:spacing w:line="259" w:lineRule="auto"/>
              <w:jc w:val="center"/>
              <w:rPr>
                <w:color w:val="0F6FC6"/>
              </w:rPr>
            </w:pPr>
            <w:r>
              <w:rPr>
                <w:color w:val="0F6FC6"/>
              </w:rPr>
              <w:t>Equipe de Planejamento da Contratação</w:t>
            </w:r>
          </w:p>
        </w:tc>
      </w:tr>
      <w:tr w:rsidR="004E4AF8">
        <w:trPr>
          <w:trHeight w:val="375"/>
        </w:trPr>
        <w:tc>
          <w:tcPr>
            <w:tcW w:w="714" w:type="dxa"/>
            <w:vMerge/>
            <w:shd w:val="clear" w:color="auto" w:fill="F2F2F2"/>
            <w:vAlign w:val="center"/>
          </w:tcPr>
          <w:p w:rsidR="004E4AF8" w:rsidRDefault="004E4AF8">
            <w:pPr>
              <w:widowControl w:val="0"/>
              <w:pBdr>
                <w:top w:val="nil"/>
                <w:left w:val="nil"/>
                <w:bottom w:val="nil"/>
                <w:right w:val="nil"/>
                <w:between w:val="nil"/>
              </w:pBdr>
              <w:spacing w:line="276" w:lineRule="auto"/>
              <w:jc w:val="left"/>
              <w:rPr>
                <w:color w:val="0F6FC6"/>
              </w:rPr>
            </w:pPr>
          </w:p>
        </w:tc>
        <w:tc>
          <w:tcPr>
            <w:tcW w:w="444" w:type="dxa"/>
            <w:shd w:val="clear" w:color="auto" w:fill="F2F2F2"/>
            <w:vAlign w:val="center"/>
          </w:tcPr>
          <w:p w:rsidR="004E4AF8" w:rsidRDefault="00D62302">
            <w:pPr>
              <w:spacing w:line="259" w:lineRule="auto"/>
              <w:jc w:val="center"/>
              <w:rPr>
                <w:b/>
              </w:rPr>
            </w:pPr>
            <w:r>
              <w:rPr>
                <w:b/>
              </w:rPr>
              <w:t>Id</w:t>
            </w:r>
          </w:p>
        </w:tc>
        <w:tc>
          <w:tcPr>
            <w:tcW w:w="5843" w:type="dxa"/>
            <w:gridSpan w:val="2"/>
            <w:shd w:val="clear" w:color="auto" w:fill="F2F2F2"/>
            <w:vAlign w:val="center"/>
          </w:tcPr>
          <w:p w:rsidR="004E4AF8" w:rsidRDefault="00D62302">
            <w:pPr>
              <w:spacing w:line="259" w:lineRule="auto"/>
              <w:jc w:val="center"/>
              <w:rPr>
                <w:b/>
              </w:rPr>
            </w:pPr>
            <w:r>
              <w:rPr>
                <w:b/>
              </w:rPr>
              <w:t>Ação de Contingência</w:t>
            </w:r>
          </w:p>
        </w:tc>
        <w:tc>
          <w:tcPr>
            <w:tcW w:w="2627" w:type="dxa"/>
            <w:shd w:val="clear" w:color="auto" w:fill="F2F2F2"/>
            <w:vAlign w:val="center"/>
          </w:tcPr>
          <w:p w:rsidR="004E4AF8" w:rsidRDefault="00D62302">
            <w:pPr>
              <w:spacing w:line="259" w:lineRule="auto"/>
              <w:jc w:val="center"/>
              <w:rPr>
                <w:b/>
              </w:rPr>
            </w:pPr>
            <w:r>
              <w:rPr>
                <w:b/>
              </w:rPr>
              <w:t>Responsável</w:t>
            </w:r>
          </w:p>
        </w:tc>
      </w:tr>
      <w:tr w:rsidR="004E4AF8">
        <w:trPr>
          <w:trHeight w:val="375"/>
        </w:trPr>
        <w:tc>
          <w:tcPr>
            <w:tcW w:w="714" w:type="dxa"/>
            <w:vMerge/>
            <w:shd w:val="clear" w:color="auto" w:fill="F2F2F2"/>
            <w:vAlign w:val="center"/>
          </w:tcPr>
          <w:p w:rsidR="004E4AF8" w:rsidRDefault="004E4AF8">
            <w:pPr>
              <w:widowControl w:val="0"/>
              <w:pBdr>
                <w:top w:val="nil"/>
                <w:left w:val="nil"/>
                <w:bottom w:val="nil"/>
                <w:right w:val="nil"/>
                <w:between w:val="nil"/>
              </w:pBdr>
              <w:spacing w:line="276" w:lineRule="auto"/>
              <w:jc w:val="left"/>
              <w:rPr>
                <w:b/>
              </w:rPr>
            </w:pPr>
          </w:p>
        </w:tc>
        <w:tc>
          <w:tcPr>
            <w:tcW w:w="444" w:type="dxa"/>
            <w:shd w:val="clear" w:color="auto" w:fill="F2F2F2"/>
            <w:vAlign w:val="center"/>
          </w:tcPr>
          <w:p w:rsidR="004E4AF8" w:rsidRDefault="00D62302">
            <w:pPr>
              <w:spacing w:line="259" w:lineRule="auto"/>
              <w:jc w:val="center"/>
              <w:rPr>
                <w:b/>
                <w:color w:val="0F6FC6"/>
              </w:rPr>
            </w:pPr>
            <w:r>
              <w:rPr>
                <w:b/>
                <w:color w:val="0F6FC6"/>
              </w:rPr>
              <w:t>1</w:t>
            </w:r>
          </w:p>
        </w:tc>
        <w:tc>
          <w:tcPr>
            <w:tcW w:w="5843" w:type="dxa"/>
            <w:gridSpan w:val="2"/>
            <w:shd w:val="clear" w:color="auto" w:fill="auto"/>
            <w:vAlign w:val="center"/>
          </w:tcPr>
          <w:p w:rsidR="004E4AF8" w:rsidRDefault="00D62302">
            <w:pPr>
              <w:spacing w:line="259" w:lineRule="auto"/>
              <w:rPr>
                <w:color w:val="0F6FC6"/>
              </w:rPr>
            </w:pPr>
            <w:r>
              <w:rPr>
                <w:color w:val="0F6FC6"/>
              </w:rPr>
              <w:t xml:space="preserve">Alocação integral da Equipe de Planejamento da Contratação na resposta e mitigação das causas </w:t>
            </w:r>
          </w:p>
        </w:tc>
        <w:tc>
          <w:tcPr>
            <w:tcW w:w="2627" w:type="dxa"/>
            <w:shd w:val="clear" w:color="auto" w:fill="auto"/>
            <w:vAlign w:val="center"/>
          </w:tcPr>
          <w:p w:rsidR="004E4AF8" w:rsidRDefault="00D62302">
            <w:pPr>
              <w:spacing w:line="259" w:lineRule="auto"/>
              <w:jc w:val="center"/>
              <w:rPr>
                <w:color w:val="0F6FC6"/>
              </w:rPr>
            </w:pPr>
            <w:r>
              <w:rPr>
                <w:color w:val="0F6FC6"/>
              </w:rPr>
              <w:t>XXXXX</w:t>
            </w:r>
          </w:p>
        </w:tc>
      </w:tr>
      <w:tr w:rsidR="004E4AF8">
        <w:trPr>
          <w:trHeight w:val="375"/>
        </w:trPr>
        <w:tc>
          <w:tcPr>
            <w:tcW w:w="714" w:type="dxa"/>
            <w:vMerge/>
            <w:shd w:val="clear" w:color="auto" w:fill="F2F2F2"/>
            <w:vAlign w:val="center"/>
          </w:tcPr>
          <w:p w:rsidR="004E4AF8" w:rsidRDefault="004E4AF8">
            <w:pPr>
              <w:widowControl w:val="0"/>
              <w:pBdr>
                <w:top w:val="nil"/>
                <w:left w:val="nil"/>
                <w:bottom w:val="nil"/>
                <w:right w:val="nil"/>
                <w:between w:val="nil"/>
              </w:pBdr>
              <w:spacing w:line="276" w:lineRule="auto"/>
              <w:jc w:val="left"/>
              <w:rPr>
                <w:color w:val="0F6FC6"/>
              </w:rPr>
            </w:pPr>
          </w:p>
        </w:tc>
        <w:tc>
          <w:tcPr>
            <w:tcW w:w="444" w:type="dxa"/>
            <w:shd w:val="clear" w:color="auto" w:fill="F2F2F2"/>
            <w:vAlign w:val="center"/>
          </w:tcPr>
          <w:p w:rsidR="004E4AF8" w:rsidRDefault="00D62302">
            <w:pPr>
              <w:spacing w:line="259" w:lineRule="auto"/>
              <w:jc w:val="center"/>
              <w:rPr>
                <w:b/>
                <w:color w:val="0F6FC6"/>
              </w:rPr>
            </w:pPr>
            <w:r>
              <w:rPr>
                <w:b/>
                <w:color w:val="0F6FC6"/>
              </w:rPr>
              <w:t>2</w:t>
            </w:r>
          </w:p>
        </w:tc>
        <w:tc>
          <w:tcPr>
            <w:tcW w:w="5843" w:type="dxa"/>
            <w:gridSpan w:val="2"/>
            <w:shd w:val="clear" w:color="auto" w:fill="auto"/>
            <w:vAlign w:val="center"/>
          </w:tcPr>
          <w:p w:rsidR="004E4AF8" w:rsidRDefault="00D62302">
            <w:pPr>
              <w:spacing w:line="259" w:lineRule="auto"/>
              <w:rPr>
                <w:color w:val="0F6FC6"/>
              </w:rPr>
            </w:pPr>
            <w:r>
              <w:rPr>
                <w:color w:val="0F6FC6"/>
              </w:rPr>
              <w:t>Mitigação e eliminação das causas que obstruem o processo</w:t>
            </w:r>
            <w:r>
              <w:rPr>
                <w:color w:val="0F6FC6"/>
              </w:rPr>
              <w:br/>
              <w:t>licitatório</w:t>
            </w:r>
          </w:p>
        </w:tc>
        <w:tc>
          <w:tcPr>
            <w:tcW w:w="2627" w:type="dxa"/>
            <w:shd w:val="clear" w:color="auto" w:fill="auto"/>
            <w:vAlign w:val="center"/>
          </w:tcPr>
          <w:p w:rsidR="004E4AF8" w:rsidRDefault="00D62302">
            <w:pPr>
              <w:spacing w:line="259" w:lineRule="auto"/>
              <w:jc w:val="center"/>
              <w:rPr>
                <w:color w:val="0F6FC6"/>
              </w:rPr>
            </w:pPr>
            <w:r>
              <w:rPr>
                <w:color w:val="0F6FC6"/>
              </w:rPr>
              <w:t>XXXXX</w:t>
            </w:r>
          </w:p>
        </w:tc>
      </w:tr>
    </w:tbl>
    <w:p w:rsidR="004E4AF8" w:rsidRDefault="004E4AF8">
      <w:pPr>
        <w:spacing w:after="0" w:line="240" w:lineRule="auto"/>
        <w:jc w:val="left"/>
        <w:rPr>
          <w:sz w:val="14"/>
          <w:szCs w:val="14"/>
        </w:rPr>
      </w:pPr>
    </w:p>
    <w:tbl>
      <w:tblPr>
        <w:tblStyle w:val="affffffffffffffffffa"/>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1541"/>
        <w:gridCol w:w="857"/>
        <w:gridCol w:w="858"/>
        <w:gridCol w:w="6372"/>
      </w:tblGrid>
      <w:tr w:rsidR="004E4AF8">
        <w:tc>
          <w:tcPr>
            <w:tcW w:w="9628" w:type="dxa"/>
            <w:gridSpan w:val="4"/>
            <w:tcBorders>
              <w:bottom w:val="single" w:sz="4" w:space="0" w:color="000000"/>
            </w:tcBorders>
            <w:shd w:val="clear" w:color="auto" w:fill="BFBFBF"/>
          </w:tcPr>
          <w:p w:rsidR="004E4AF8" w:rsidRDefault="00D62302">
            <w:pPr>
              <w:spacing w:line="259" w:lineRule="auto"/>
              <w:rPr>
                <w:b/>
              </w:rPr>
            </w:pPr>
            <w:r>
              <w:rPr>
                <w:b/>
              </w:rPr>
              <w:t>4 – ACOMPANHAMENTO DAS AÇÕES DE TRATAMENTO DE RISCOS</w:t>
            </w:r>
          </w:p>
        </w:tc>
      </w:tr>
      <w:tr w:rsidR="004E4AF8">
        <w:trPr>
          <w:trHeight w:val="375"/>
        </w:trPr>
        <w:tc>
          <w:tcPr>
            <w:tcW w:w="9628" w:type="dxa"/>
            <w:gridSpan w:val="4"/>
            <w:shd w:val="clear" w:color="auto" w:fill="auto"/>
          </w:tcPr>
          <w:p w:rsidR="004E4AF8" w:rsidRDefault="00D62302">
            <w:pPr>
              <w:rPr>
                <w:sz w:val="22"/>
                <w:szCs w:val="22"/>
              </w:rPr>
            </w:pPr>
            <w:r>
              <w:rPr>
                <w:sz w:val="22"/>
                <w:szCs w:val="22"/>
              </w:rPr>
              <w:t>&lt;</w:t>
            </w:r>
            <w:r>
              <w:rPr>
                <w:color w:val="0F6FC6"/>
                <w:sz w:val="22"/>
                <w:szCs w:val="22"/>
              </w:rPr>
              <w:t>Espaço para registro e acompanhamento das ações de tratamento dos riscos, que poderá conter eventos relevantes relacionados ao gerenciamento de riscos, conforme exemplo abaixo.</w:t>
            </w:r>
            <w:r>
              <w:rPr>
                <w:sz w:val="22"/>
                <w:szCs w:val="22"/>
              </w:rPr>
              <w:t>&gt;</w:t>
            </w:r>
          </w:p>
        </w:tc>
      </w:tr>
      <w:tr w:rsidR="004E4AF8">
        <w:trPr>
          <w:trHeight w:val="375"/>
        </w:trPr>
        <w:tc>
          <w:tcPr>
            <w:tcW w:w="1541" w:type="dxa"/>
            <w:shd w:val="clear" w:color="auto" w:fill="F2F2F2"/>
            <w:vAlign w:val="center"/>
          </w:tcPr>
          <w:p w:rsidR="004E4AF8" w:rsidRDefault="00D62302">
            <w:pPr>
              <w:jc w:val="center"/>
              <w:rPr>
                <w:b/>
              </w:rPr>
            </w:pPr>
            <w:r>
              <w:rPr>
                <w:b/>
              </w:rPr>
              <w:t>Data</w:t>
            </w:r>
          </w:p>
        </w:tc>
        <w:tc>
          <w:tcPr>
            <w:tcW w:w="857" w:type="dxa"/>
            <w:shd w:val="clear" w:color="auto" w:fill="F2F2F2"/>
            <w:vAlign w:val="center"/>
          </w:tcPr>
          <w:p w:rsidR="004E4AF8" w:rsidRDefault="00D62302">
            <w:pPr>
              <w:jc w:val="center"/>
              <w:rPr>
                <w:b/>
              </w:rPr>
            </w:pPr>
            <w:r>
              <w:rPr>
                <w:b/>
              </w:rPr>
              <w:t>Id. Risco</w:t>
            </w:r>
          </w:p>
        </w:tc>
        <w:tc>
          <w:tcPr>
            <w:tcW w:w="858" w:type="dxa"/>
            <w:shd w:val="clear" w:color="auto" w:fill="F2F2F2"/>
            <w:vAlign w:val="center"/>
          </w:tcPr>
          <w:p w:rsidR="004E4AF8" w:rsidRDefault="00D62302">
            <w:pPr>
              <w:jc w:val="center"/>
              <w:rPr>
                <w:b/>
              </w:rPr>
            </w:pPr>
            <w:r>
              <w:rPr>
                <w:b/>
              </w:rPr>
              <w:t>Id. Ação</w:t>
            </w:r>
          </w:p>
        </w:tc>
        <w:tc>
          <w:tcPr>
            <w:tcW w:w="6372" w:type="dxa"/>
            <w:shd w:val="clear" w:color="auto" w:fill="F2F2F2"/>
            <w:vAlign w:val="center"/>
          </w:tcPr>
          <w:p w:rsidR="004E4AF8" w:rsidRDefault="00D62302">
            <w:pPr>
              <w:jc w:val="center"/>
              <w:rPr>
                <w:b/>
              </w:rPr>
            </w:pPr>
            <w:r>
              <w:rPr>
                <w:b/>
              </w:rPr>
              <w:t>Registro e acompanhamento das ações</w:t>
            </w:r>
          </w:p>
          <w:p w:rsidR="004E4AF8" w:rsidRDefault="00D62302">
            <w:pPr>
              <w:jc w:val="center"/>
              <w:rPr>
                <w:b/>
              </w:rPr>
            </w:pPr>
            <w:r>
              <w:rPr>
                <w:b/>
              </w:rPr>
              <w:t>de tratamento dos riscos</w:t>
            </w:r>
          </w:p>
        </w:tc>
      </w:tr>
      <w:tr w:rsidR="004E4AF8">
        <w:trPr>
          <w:trHeight w:val="375"/>
        </w:trPr>
        <w:tc>
          <w:tcPr>
            <w:tcW w:w="1541" w:type="dxa"/>
            <w:shd w:val="clear" w:color="auto" w:fill="auto"/>
            <w:vAlign w:val="center"/>
          </w:tcPr>
          <w:p w:rsidR="004E4AF8" w:rsidRDefault="00D62302">
            <w:pPr>
              <w:jc w:val="center"/>
              <w:rPr>
                <w:sz w:val="22"/>
                <w:szCs w:val="22"/>
              </w:rPr>
            </w:pPr>
            <w:r>
              <w:rPr>
                <w:color w:val="0F6FC6"/>
                <w:sz w:val="22"/>
                <w:szCs w:val="22"/>
              </w:rPr>
              <w:t>XX</w:t>
            </w:r>
            <w:r>
              <w:rPr>
                <w:sz w:val="22"/>
                <w:szCs w:val="22"/>
              </w:rPr>
              <w:t>/</w:t>
            </w:r>
            <w:r>
              <w:rPr>
                <w:color w:val="0F6FC6"/>
                <w:sz w:val="22"/>
                <w:szCs w:val="22"/>
              </w:rPr>
              <w:t>XX</w:t>
            </w:r>
            <w:r>
              <w:rPr>
                <w:sz w:val="22"/>
                <w:szCs w:val="22"/>
              </w:rPr>
              <w:t>/</w:t>
            </w:r>
            <w:r>
              <w:rPr>
                <w:color w:val="0F6FC6"/>
                <w:sz w:val="22"/>
                <w:szCs w:val="22"/>
              </w:rPr>
              <w:t>20XX</w:t>
            </w:r>
          </w:p>
        </w:tc>
        <w:tc>
          <w:tcPr>
            <w:tcW w:w="857" w:type="dxa"/>
            <w:shd w:val="clear" w:color="auto" w:fill="auto"/>
            <w:vAlign w:val="center"/>
          </w:tcPr>
          <w:p w:rsidR="004E4AF8" w:rsidRDefault="00D62302">
            <w:pPr>
              <w:jc w:val="center"/>
              <w:rPr>
                <w:color w:val="0F6FC6"/>
                <w:sz w:val="22"/>
                <w:szCs w:val="22"/>
              </w:rPr>
            </w:pPr>
            <w:r>
              <w:rPr>
                <w:color w:val="0F6FC6"/>
                <w:sz w:val="22"/>
                <w:szCs w:val="22"/>
              </w:rPr>
              <w:t>R01</w:t>
            </w:r>
          </w:p>
        </w:tc>
        <w:tc>
          <w:tcPr>
            <w:tcW w:w="858" w:type="dxa"/>
            <w:shd w:val="clear" w:color="auto" w:fill="auto"/>
            <w:vAlign w:val="center"/>
          </w:tcPr>
          <w:p w:rsidR="004E4AF8" w:rsidRDefault="00D62302">
            <w:pPr>
              <w:jc w:val="center"/>
              <w:rPr>
                <w:color w:val="0F6FC6"/>
                <w:sz w:val="22"/>
                <w:szCs w:val="22"/>
              </w:rPr>
            </w:pPr>
            <w:r>
              <w:rPr>
                <w:color w:val="0F6FC6"/>
                <w:sz w:val="22"/>
                <w:szCs w:val="22"/>
              </w:rPr>
              <w:t>P2</w:t>
            </w:r>
          </w:p>
        </w:tc>
        <w:tc>
          <w:tcPr>
            <w:tcW w:w="6372" w:type="dxa"/>
            <w:shd w:val="clear" w:color="auto" w:fill="auto"/>
            <w:vAlign w:val="center"/>
          </w:tcPr>
          <w:p w:rsidR="004E4AF8" w:rsidRDefault="00D62302">
            <w:pPr>
              <w:rPr>
                <w:color w:val="0F6FC6"/>
                <w:sz w:val="22"/>
                <w:szCs w:val="22"/>
              </w:rPr>
            </w:pPr>
            <w:r>
              <w:rPr>
                <w:color w:val="0F6FC6"/>
                <w:sz w:val="22"/>
                <w:szCs w:val="22"/>
              </w:rPr>
              <w:t>O Comitê de Governança Digital se reuniu em XX/XX/2020 e deliberou quanto à lista dos sistemas prioritários a terem suas demandas executadas pela empresa de desenvolvimento de software</w:t>
            </w:r>
          </w:p>
        </w:tc>
      </w:tr>
      <w:tr w:rsidR="004E4AF8">
        <w:trPr>
          <w:trHeight w:val="375"/>
        </w:trPr>
        <w:tc>
          <w:tcPr>
            <w:tcW w:w="1541" w:type="dxa"/>
            <w:shd w:val="clear" w:color="auto" w:fill="auto"/>
            <w:vAlign w:val="center"/>
          </w:tcPr>
          <w:p w:rsidR="004E4AF8" w:rsidRDefault="004E4AF8">
            <w:pPr>
              <w:jc w:val="center"/>
              <w:rPr>
                <w:color w:val="2191C9"/>
                <w:sz w:val="22"/>
                <w:szCs w:val="22"/>
              </w:rPr>
            </w:pPr>
          </w:p>
        </w:tc>
        <w:tc>
          <w:tcPr>
            <w:tcW w:w="857" w:type="dxa"/>
            <w:shd w:val="clear" w:color="auto" w:fill="auto"/>
            <w:vAlign w:val="center"/>
          </w:tcPr>
          <w:p w:rsidR="004E4AF8" w:rsidRDefault="004E4AF8">
            <w:pPr>
              <w:jc w:val="center"/>
              <w:rPr>
                <w:color w:val="2191C9"/>
                <w:sz w:val="22"/>
                <w:szCs w:val="22"/>
              </w:rPr>
            </w:pPr>
          </w:p>
        </w:tc>
        <w:tc>
          <w:tcPr>
            <w:tcW w:w="858" w:type="dxa"/>
            <w:shd w:val="clear" w:color="auto" w:fill="auto"/>
            <w:vAlign w:val="center"/>
          </w:tcPr>
          <w:p w:rsidR="004E4AF8" w:rsidRDefault="004E4AF8">
            <w:pPr>
              <w:jc w:val="center"/>
              <w:rPr>
                <w:color w:val="2191C9"/>
                <w:sz w:val="22"/>
                <w:szCs w:val="22"/>
              </w:rPr>
            </w:pPr>
          </w:p>
        </w:tc>
        <w:tc>
          <w:tcPr>
            <w:tcW w:w="6372" w:type="dxa"/>
            <w:shd w:val="clear" w:color="auto" w:fill="auto"/>
            <w:vAlign w:val="center"/>
          </w:tcPr>
          <w:p w:rsidR="004E4AF8" w:rsidRDefault="004E4AF8">
            <w:pPr>
              <w:rPr>
                <w:color w:val="2191C9"/>
                <w:sz w:val="22"/>
                <w:szCs w:val="22"/>
              </w:rPr>
            </w:pPr>
          </w:p>
        </w:tc>
      </w:tr>
      <w:tr w:rsidR="004E4AF8">
        <w:trPr>
          <w:trHeight w:val="375"/>
        </w:trPr>
        <w:tc>
          <w:tcPr>
            <w:tcW w:w="1541" w:type="dxa"/>
            <w:shd w:val="clear" w:color="auto" w:fill="auto"/>
            <w:vAlign w:val="center"/>
          </w:tcPr>
          <w:p w:rsidR="004E4AF8" w:rsidRDefault="004E4AF8">
            <w:pPr>
              <w:jc w:val="center"/>
              <w:rPr>
                <w:color w:val="2191C9"/>
                <w:sz w:val="22"/>
                <w:szCs w:val="22"/>
              </w:rPr>
            </w:pPr>
          </w:p>
        </w:tc>
        <w:tc>
          <w:tcPr>
            <w:tcW w:w="857" w:type="dxa"/>
            <w:shd w:val="clear" w:color="auto" w:fill="auto"/>
            <w:vAlign w:val="center"/>
          </w:tcPr>
          <w:p w:rsidR="004E4AF8" w:rsidRDefault="004E4AF8">
            <w:pPr>
              <w:jc w:val="center"/>
              <w:rPr>
                <w:color w:val="2191C9"/>
                <w:sz w:val="22"/>
                <w:szCs w:val="22"/>
              </w:rPr>
            </w:pPr>
          </w:p>
        </w:tc>
        <w:tc>
          <w:tcPr>
            <w:tcW w:w="858" w:type="dxa"/>
            <w:shd w:val="clear" w:color="auto" w:fill="auto"/>
            <w:vAlign w:val="center"/>
          </w:tcPr>
          <w:p w:rsidR="004E4AF8" w:rsidRDefault="004E4AF8">
            <w:pPr>
              <w:jc w:val="center"/>
              <w:rPr>
                <w:color w:val="2191C9"/>
                <w:sz w:val="22"/>
                <w:szCs w:val="22"/>
              </w:rPr>
            </w:pPr>
          </w:p>
        </w:tc>
        <w:tc>
          <w:tcPr>
            <w:tcW w:w="6372" w:type="dxa"/>
            <w:shd w:val="clear" w:color="auto" w:fill="auto"/>
            <w:vAlign w:val="center"/>
          </w:tcPr>
          <w:p w:rsidR="004E4AF8" w:rsidRDefault="004E4AF8">
            <w:pPr>
              <w:rPr>
                <w:color w:val="2191C9"/>
                <w:sz w:val="22"/>
                <w:szCs w:val="22"/>
              </w:rPr>
            </w:pPr>
          </w:p>
        </w:tc>
      </w:tr>
    </w:tbl>
    <w:p w:rsidR="004E4AF8" w:rsidRDefault="004E4AF8">
      <w:pPr>
        <w:spacing w:after="0" w:line="240" w:lineRule="auto"/>
        <w:jc w:val="left"/>
        <w:rPr>
          <w:sz w:val="14"/>
          <w:szCs w:val="14"/>
        </w:rPr>
      </w:pPr>
    </w:p>
    <w:tbl>
      <w:tblPr>
        <w:tblStyle w:val="affffffffffffffffffb"/>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3209"/>
        <w:gridCol w:w="3209"/>
        <w:gridCol w:w="3210"/>
      </w:tblGrid>
      <w:tr w:rsidR="004E4AF8">
        <w:tc>
          <w:tcPr>
            <w:tcW w:w="9628" w:type="dxa"/>
            <w:gridSpan w:val="3"/>
            <w:tcBorders>
              <w:bottom w:val="single" w:sz="4" w:space="0" w:color="000000"/>
            </w:tcBorders>
            <w:shd w:val="clear" w:color="auto" w:fill="BFBFBF"/>
          </w:tcPr>
          <w:p w:rsidR="004E4AF8" w:rsidRDefault="00D62302">
            <w:pPr>
              <w:spacing w:line="259" w:lineRule="auto"/>
              <w:rPr>
                <w:b/>
              </w:rPr>
            </w:pPr>
            <w:r>
              <w:rPr>
                <w:b/>
              </w:rPr>
              <w:t>5 – APROVAÇÃO E ASSINATURA</w:t>
            </w:r>
          </w:p>
        </w:tc>
      </w:tr>
      <w:tr w:rsidR="004E4AF8">
        <w:trPr>
          <w:trHeight w:val="375"/>
        </w:trPr>
        <w:tc>
          <w:tcPr>
            <w:tcW w:w="9628" w:type="dxa"/>
            <w:gridSpan w:val="3"/>
            <w:shd w:val="clear" w:color="auto" w:fill="auto"/>
          </w:tcPr>
          <w:p w:rsidR="004E4AF8" w:rsidRDefault="00D62302">
            <w:pPr>
              <w:rPr>
                <w:sz w:val="20"/>
                <w:szCs w:val="20"/>
              </w:rPr>
            </w:pPr>
            <w:r>
              <w:rPr>
                <w:sz w:val="20"/>
                <w:szCs w:val="20"/>
              </w:rPr>
              <w:t xml:space="preserve">Conforme § </w:t>
            </w:r>
            <w:r>
              <w:rPr>
                <w:color w:val="0F6FC6"/>
                <w:sz w:val="20"/>
                <w:szCs w:val="20"/>
              </w:rPr>
              <w:t xml:space="preserve">Xº </w:t>
            </w:r>
            <w:r>
              <w:rPr>
                <w:sz w:val="20"/>
                <w:szCs w:val="20"/>
              </w:rPr>
              <w:t xml:space="preserve">do art. </w:t>
            </w:r>
            <w:r>
              <w:rPr>
                <w:color w:val="0F6FC6"/>
                <w:sz w:val="20"/>
                <w:szCs w:val="20"/>
              </w:rPr>
              <w:t xml:space="preserve">XX </w:t>
            </w:r>
            <w:r>
              <w:rPr>
                <w:sz w:val="20"/>
                <w:szCs w:val="20"/>
              </w:rPr>
              <w:t xml:space="preserve">da Resolução CNJ nº </w:t>
            </w:r>
            <w:r>
              <w:rPr>
                <w:color w:val="0F6FC6"/>
                <w:sz w:val="20"/>
                <w:szCs w:val="20"/>
              </w:rPr>
              <w:t>XXX</w:t>
            </w:r>
            <w:r>
              <w:rPr>
                <w:sz w:val="20"/>
                <w:szCs w:val="20"/>
              </w:rPr>
              <w:t xml:space="preserve">, de </w:t>
            </w:r>
            <w:r>
              <w:rPr>
                <w:color w:val="0F6FC6"/>
                <w:sz w:val="20"/>
                <w:szCs w:val="20"/>
              </w:rPr>
              <w:t>20XX</w:t>
            </w:r>
            <w:r>
              <w:rPr>
                <w:sz w:val="20"/>
                <w:szCs w:val="20"/>
              </w:rPr>
              <w:t>, a Análise de Riscos deve ser assinada pela Equipe de Planejamento da Contratação, nas fases de Planejamento da Contratação e de Seleção de Fornecedores, e pela Equipe de Fiscalização do Contrato, na fase de Gestão do Contr</w:t>
            </w:r>
            <w:r>
              <w:rPr>
                <w:sz w:val="20"/>
                <w:szCs w:val="20"/>
              </w:rPr>
              <w:t>ato.</w:t>
            </w:r>
          </w:p>
          <w:p w:rsidR="004E4AF8" w:rsidRDefault="00D62302">
            <w:pPr>
              <w:rPr>
                <w:sz w:val="20"/>
                <w:szCs w:val="20"/>
              </w:rPr>
            </w:pPr>
            <w:r>
              <w:rPr>
                <w:sz w:val="20"/>
                <w:szCs w:val="20"/>
              </w:rPr>
              <w:t>&lt;</w:t>
            </w:r>
            <w:r>
              <w:rPr>
                <w:color w:val="0F6FC6"/>
                <w:sz w:val="20"/>
                <w:szCs w:val="20"/>
              </w:rPr>
              <w:t>Para as fases de Planejamento da Contratação e de Seleção de Fornecedores: A Equipe de Planejamento da Contratação foi instituída pela Portaria nº XXX, de &lt;dia&gt; de &lt;mês&gt; de &lt;ano&gt; (ou outro instrumento equivalente de formalização)</w:t>
            </w:r>
            <w:r>
              <w:rPr>
                <w:sz w:val="20"/>
                <w:szCs w:val="20"/>
              </w:rPr>
              <w:t>&gt;</w:t>
            </w:r>
          </w:p>
        </w:tc>
      </w:tr>
      <w:tr w:rsidR="004E4AF8">
        <w:trPr>
          <w:trHeight w:val="1028"/>
        </w:trPr>
        <w:tc>
          <w:tcPr>
            <w:tcW w:w="3209" w:type="dxa"/>
            <w:shd w:val="clear" w:color="auto" w:fill="auto"/>
          </w:tcPr>
          <w:p w:rsidR="004E4AF8" w:rsidRDefault="004E4AF8">
            <w:pPr>
              <w:jc w:val="center"/>
            </w:pPr>
          </w:p>
          <w:p w:rsidR="004E4AF8" w:rsidRDefault="00D62302">
            <w:pPr>
              <w:jc w:val="center"/>
            </w:pPr>
            <w:r>
              <w:t>_________________</w:t>
            </w:r>
            <w:r>
              <w:t>___________</w:t>
            </w:r>
          </w:p>
          <w:p w:rsidR="004E4AF8" w:rsidRDefault="00D62302">
            <w:pPr>
              <w:jc w:val="center"/>
              <w:rPr>
                <w:b/>
              </w:rPr>
            </w:pPr>
            <w:r>
              <w:rPr>
                <w:b/>
              </w:rPr>
              <w:t>Integrante</w:t>
            </w:r>
          </w:p>
          <w:p w:rsidR="004E4AF8" w:rsidRDefault="00D62302">
            <w:pPr>
              <w:jc w:val="center"/>
              <w:rPr>
                <w:b/>
              </w:rPr>
            </w:pPr>
            <w:r>
              <w:rPr>
                <w:b/>
              </w:rPr>
              <w:t>Demandante</w:t>
            </w:r>
          </w:p>
          <w:p w:rsidR="004E4AF8" w:rsidRDefault="00D62302">
            <w:pPr>
              <w:jc w:val="center"/>
            </w:pPr>
            <w:r>
              <w:t>&lt;</w:t>
            </w:r>
            <w:r>
              <w:rPr>
                <w:color w:val="0F6FC6"/>
              </w:rPr>
              <w:t>Nome</w:t>
            </w:r>
            <w:r>
              <w:t>&gt;</w:t>
            </w:r>
          </w:p>
          <w:p w:rsidR="004E4AF8" w:rsidRDefault="00D62302">
            <w:pPr>
              <w:jc w:val="center"/>
            </w:pPr>
            <w:r>
              <w:t>&lt;</w:t>
            </w:r>
            <w:r>
              <w:rPr>
                <w:color w:val="0F6FC6"/>
              </w:rPr>
              <w:t>Cargo</w:t>
            </w:r>
            <w:r>
              <w:t>&gt;</w:t>
            </w:r>
          </w:p>
          <w:p w:rsidR="004E4AF8" w:rsidRDefault="00D62302">
            <w:pPr>
              <w:jc w:val="center"/>
            </w:pPr>
            <w:r>
              <w:t>&lt;</w:t>
            </w:r>
            <w:r>
              <w:rPr>
                <w:color w:val="0F6FC6"/>
              </w:rPr>
              <w:t>Matrícula</w:t>
            </w:r>
            <w:r>
              <w:t>&gt;</w:t>
            </w:r>
          </w:p>
        </w:tc>
        <w:tc>
          <w:tcPr>
            <w:tcW w:w="3209" w:type="dxa"/>
            <w:shd w:val="clear" w:color="auto" w:fill="auto"/>
          </w:tcPr>
          <w:p w:rsidR="004E4AF8" w:rsidRDefault="004E4AF8">
            <w:pPr>
              <w:jc w:val="center"/>
            </w:pPr>
          </w:p>
          <w:p w:rsidR="004E4AF8" w:rsidRDefault="00D62302">
            <w:pPr>
              <w:jc w:val="center"/>
            </w:pPr>
            <w:r>
              <w:t>____________________________</w:t>
            </w:r>
          </w:p>
          <w:p w:rsidR="004E4AF8" w:rsidRDefault="00D62302">
            <w:pPr>
              <w:jc w:val="center"/>
              <w:rPr>
                <w:b/>
              </w:rPr>
            </w:pPr>
            <w:r>
              <w:rPr>
                <w:b/>
              </w:rPr>
              <w:t>Integrante</w:t>
            </w:r>
          </w:p>
          <w:p w:rsidR="004E4AF8" w:rsidRDefault="00D62302">
            <w:pPr>
              <w:jc w:val="center"/>
              <w:rPr>
                <w:b/>
              </w:rPr>
            </w:pPr>
            <w:r>
              <w:rPr>
                <w:b/>
              </w:rPr>
              <w:t>Técnico</w:t>
            </w:r>
          </w:p>
          <w:p w:rsidR="004E4AF8" w:rsidRDefault="00D62302">
            <w:pPr>
              <w:jc w:val="center"/>
            </w:pPr>
            <w:r>
              <w:t>&lt;</w:t>
            </w:r>
            <w:r>
              <w:rPr>
                <w:color w:val="0F6FC6"/>
              </w:rPr>
              <w:t>Nome</w:t>
            </w:r>
            <w:r>
              <w:t>&gt;</w:t>
            </w:r>
          </w:p>
          <w:p w:rsidR="004E4AF8" w:rsidRDefault="00D62302">
            <w:pPr>
              <w:jc w:val="center"/>
            </w:pPr>
            <w:r>
              <w:t>&lt;</w:t>
            </w:r>
            <w:r>
              <w:rPr>
                <w:color w:val="0F6FC6"/>
              </w:rPr>
              <w:t>Cargo</w:t>
            </w:r>
            <w:r>
              <w:t>&gt;</w:t>
            </w:r>
          </w:p>
          <w:p w:rsidR="004E4AF8" w:rsidRDefault="00D62302">
            <w:pPr>
              <w:jc w:val="center"/>
            </w:pPr>
            <w:r>
              <w:t>&lt;</w:t>
            </w:r>
            <w:r>
              <w:rPr>
                <w:color w:val="0F6FC6"/>
              </w:rPr>
              <w:t>Matrícula</w:t>
            </w:r>
            <w:r>
              <w:t>&gt;</w:t>
            </w:r>
          </w:p>
        </w:tc>
        <w:tc>
          <w:tcPr>
            <w:tcW w:w="3210" w:type="dxa"/>
            <w:shd w:val="clear" w:color="auto" w:fill="auto"/>
          </w:tcPr>
          <w:p w:rsidR="004E4AF8" w:rsidRDefault="004E4AF8">
            <w:pPr>
              <w:jc w:val="center"/>
            </w:pPr>
          </w:p>
          <w:p w:rsidR="004E4AF8" w:rsidRDefault="00D62302">
            <w:pPr>
              <w:jc w:val="center"/>
            </w:pPr>
            <w:r>
              <w:t>____________________________</w:t>
            </w:r>
          </w:p>
          <w:p w:rsidR="004E4AF8" w:rsidRDefault="00D62302">
            <w:pPr>
              <w:jc w:val="center"/>
              <w:rPr>
                <w:b/>
              </w:rPr>
            </w:pPr>
            <w:r>
              <w:rPr>
                <w:b/>
              </w:rPr>
              <w:t>Integrante</w:t>
            </w:r>
          </w:p>
          <w:p w:rsidR="004E4AF8" w:rsidRDefault="00D62302">
            <w:pPr>
              <w:jc w:val="center"/>
              <w:rPr>
                <w:b/>
              </w:rPr>
            </w:pPr>
            <w:r>
              <w:rPr>
                <w:b/>
              </w:rPr>
              <w:t>Administrativo</w:t>
            </w:r>
          </w:p>
          <w:p w:rsidR="004E4AF8" w:rsidRDefault="00D62302">
            <w:pPr>
              <w:jc w:val="center"/>
            </w:pPr>
            <w:r>
              <w:t>&lt;</w:t>
            </w:r>
            <w:r>
              <w:rPr>
                <w:color w:val="0F6FC6"/>
              </w:rPr>
              <w:t>Nome</w:t>
            </w:r>
            <w:r>
              <w:t>&gt;</w:t>
            </w:r>
          </w:p>
          <w:p w:rsidR="004E4AF8" w:rsidRDefault="00D62302">
            <w:pPr>
              <w:jc w:val="center"/>
            </w:pPr>
            <w:r>
              <w:t>&lt;</w:t>
            </w:r>
            <w:r>
              <w:rPr>
                <w:color w:val="0F6FC6"/>
              </w:rPr>
              <w:t>Cargo</w:t>
            </w:r>
            <w:r>
              <w:t>&gt;</w:t>
            </w:r>
          </w:p>
          <w:p w:rsidR="004E4AF8" w:rsidRDefault="00D62302">
            <w:pPr>
              <w:jc w:val="center"/>
            </w:pPr>
            <w:r>
              <w:t>&lt;</w:t>
            </w:r>
            <w:r>
              <w:rPr>
                <w:color w:val="0F6FC6"/>
              </w:rPr>
              <w:t>Matrícula</w:t>
            </w:r>
            <w:r>
              <w:t>&gt;</w:t>
            </w:r>
          </w:p>
        </w:tc>
      </w:tr>
      <w:tr w:rsidR="004E4AF8">
        <w:trPr>
          <w:trHeight w:val="752"/>
        </w:trPr>
        <w:tc>
          <w:tcPr>
            <w:tcW w:w="9628" w:type="dxa"/>
            <w:gridSpan w:val="3"/>
            <w:shd w:val="clear" w:color="auto" w:fill="auto"/>
          </w:tcPr>
          <w:p w:rsidR="004E4AF8" w:rsidRDefault="00D62302">
            <w:pPr>
              <w:rPr>
                <w:color w:val="0F6FC6"/>
                <w:sz w:val="20"/>
                <w:szCs w:val="20"/>
              </w:rPr>
            </w:pPr>
            <w:r>
              <w:rPr>
                <w:sz w:val="20"/>
                <w:szCs w:val="20"/>
              </w:rPr>
              <w:t>&lt;</w:t>
            </w:r>
            <w:r>
              <w:rPr>
                <w:color w:val="0F6FC6"/>
                <w:sz w:val="20"/>
                <w:szCs w:val="20"/>
              </w:rPr>
              <w:t>Para a fase de Gestão do Contratos:</w:t>
            </w:r>
          </w:p>
          <w:p w:rsidR="004E4AF8" w:rsidRDefault="00D62302">
            <w:pPr>
              <w:rPr>
                <w:sz w:val="20"/>
                <w:szCs w:val="20"/>
              </w:rPr>
            </w:pPr>
            <w:r>
              <w:rPr>
                <w:color w:val="0F6FC6"/>
                <w:sz w:val="20"/>
                <w:szCs w:val="20"/>
              </w:rPr>
              <w:t>A Equipe de Fiscalização do Contrato foi instituída pela Portaria nº XXX, de &lt;dia&gt; de &lt;mês&gt; de &lt;ano&gt; (ou outro instrumento equivalente de formalização)</w:t>
            </w:r>
            <w:r>
              <w:rPr>
                <w:sz w:val="20"/>
                <w:szCs w:val="20"/>
              </w:rPr>
              <w:t>&gt;.</w:t>
            </w:r>
          </w:p>
        </w:tc>
      </w:tr>
      <w:tr w:rsidR="004E4AF8">
        <w:trPr>
          <w:trHeight w:val="1028"/>
        </w:trPr>
        <w:tc>
          <w:tcPr>
            <w:tcW w:w="3209" w:type="dxa"/>
            <w:shd w:val="clear" w:color="auto" w:fill="auto"/>
          </w:tcPr>
          <w:p w:rsidR="004E4AF8" w:rsidRDefault="004E4AF8">
            <w:pPr>
              <w:jc w:val="center"/>
              <w:rPr>
                <w:sz w:val="20"/>
                <w:szCs w:val="20"/>
              </w:rPr>
            </w:pPr>
          </w:p>
          <w:p w:rsidR="004E4AF8" w:rsidRDefault="00D62302">
            <w:pPr>
              <w:jc w:val="center"/>
              <w:rPr>
                <w:sz w:val="20"/>
                <w:szCs w:val="20"/>
              </w:rPr>
            </w:pPr>
            <w:r>
              <w:rPr>
                <w:sz w:val="20"/>
                <w:szCs w:val="20"/>
              </w:rPr>
              <w:t>____________________________</w:t>
            </w:r>
          </w:p>
          <w:p w:rsidR="004E4AF8" w:rsidRDefault="00D62302">
            <w:pPr>
              <w:jc w:val="center"/>
              <w:rPr>
                <w:b/>
                <w:sz w:val="20"/>
                <w:szCs w:val="20"/>
              </w:rPr>
            </w:pPr>
            <w:r>
              <w:rPr>
                <w:b/>
                <w:sz w:val="20"/>
                <w:szCs w:val="20"/>
              </w:rPr>
              <w:t>Fiscal</w:t>
            </w:r>
          </w:p>
          <w:p w:rsidR="004E4AF8" w:rsidRDefault="00D62302">
            <w:pPr>
              <w:jc w:val="center"/>
              <w:rPr>
                <w:b/>
                <w:sz w:val="20"/>
                <w:szCs w:val="20"/>
              </w:rPr>
            </w:pPr>
            <w:r>
              <w:rPr>
                <w:b/>
                <w:sz w:val="20"/>
                <w:szCs w:val="20"/>
              </w:rPr>
              <w:t>Demandante</w:t>
            </w:r>
          </w:p>
          <w:p w:rsidR="004E4AF8" w:rsidRDefault="00D62302">
            <w:pPr>
              <w:jc w:val="center"/>
              <w:rPr>
                <w:sz w:val="20"/>
                <w:szCs w:val="20"/>
              </w:rPr>
            </w:pPr>
            <w:r>
              <w:rPr>
                <w:sz w:val="20"/>
                <w:szCs w:val="20"/>
              </w:rPr>
              <w:t>&lt;</w:t>
            </w:r>
            <w:r>
              <w:rPr>
                <w:color w:val="0F6FC6"/>
                <w:sz w:val="20"/>
                <w:szCs w:val="20"/>
              </w:rPr>
              <w:t>Nome</w:t>
            </w:r>
            <w:r>
              <w:rPr>
                <w:sz w:val="20"/>
                <w:szCs w:val="20"/>
              </w:rPr>
              <w:t>&gt;</w:t>
            </w:r>
          </w:p>
          <w:p w:rsidR="004E4AF8" w:rsidRDefault="00D62302">
            <w:pPr>
              <w:jc w:val="center"/>
              <w:rPr>
                <w:sz w:val="20"/>
                <w:szCs w:val="20"/>
              </w:rPr>
            </w:pPr>
            <w:r>
              <w:rPr>
                <w:sz w:val="20"/>
                <w:szCs w:val="20"/>
              </w:rPr>
              <w:t>&lt;</w:t>
            </w:r>
            <w:r>
              <w:rPr>
                <w:color w:val="0F6FC6"/>
                <w:sz w:val="20"/>
                <w:szCs w:val="20"/>
              </w:rPr>
              <w:t>Cargo</w:t>
            </w:r>
            <w:r>
              <w:rPr>
                <w:sz w:val="20"/>
                <w:szCs w:val="20"/>
              </w:rPr>
              <w:t>&gt;</w:t>
            </w:r>
          </w:p>
          <w:p w:rsidR="004E4AF8" w:rsidRDefault="00D62302">
            <w:pPr>
              <w:jc w:val="center"/>
              <w:rPr>
                <w:sz w:val="20"/>
                <w:szCs w:val="20"/>
              </w:rPr>
            </w:pPr>
            <w:r>
              <w:rPr>
                <w:sz w:val="20"/>
                <w:szCs w:val="20"/>
              </w:rPr>
              <w:t>&lt;</w:t>
            </w:r>
            <w:r>
              <w:rPr>
                <w:color w:val="0F6FC6"/>
                <w:sz w:val="20"/>
                <w:szCs w:val="20"/>
              </w:rPr>
              <w:t>Matrícula</w:t>
            </w:r>
            <w:r>
              <w:rPr>
                <w:sz w:val="20"/>
                <w:szCs w:val="20"/>
              </w:rPr>
              <w:t>&gt;</w:t>
            </w:r>
          </w:p>
        </w:tc>
        <w:tc>
          <w:tcPr>
            <w:tcW w:w="3209" w:type="dxa"/>
            <w:shd w:val="clear" w:color="auto" w:fill="auto"/>
          </w:tcPr>
          <w:p w:rsidR="004E4AF8" w:rsidRDefault="004E4AF8">
            <w:pPr>
              <w:jc w:val="center"/>
              <w:rPr>
                <w:sz w:val="20"/>
                <w:szCs w:val="20"/>
              </w:rPr>
            </w:pPr>
          </w:p>
          <w:p w:rsidR="004E4AF8" w:rsidRDefault="00D62302">
            <w:pPr>
              <w:jc w:val="center"/>
              <w:rPr>
                <w:sz w:val="20"/>
                <w:szCs w:val="20"/>
              </w:rPr>
            </w:pPr>
            <w:r>
              <w:rPr>
                <w:sz w:val="20"/>
                <w:szCs w:val="20"/>
              </w:rPr>
              <w:t>____________________________</w:t>
            </w:r>
          </w:p>
          <w:p w:rsidR="004E4AF8" w:rsidRDefault="00D62302">
            <w:pPr>
              <w:jc w:val="center"/>
              <w:rPr>
                <w:b/>
                <w:sz w:val="20"/>
                <w:szCs w:val="20"/>
              </w:rPr>
            </w:pPr>
            <w:r>
              <w:rPr>
                <w:b/>
                <w:sz w:val="20"/>
                <w:szCs w:val="20"/>
              </w:rPr>
              <w:t>Fiscal</w:t>
            </w:r>
          </w:p>
          <w:p w:rsidR="004E4AF8" w:rsidRDefault="00D62302">
            <w:pPr>
              <w:jc w:val="center"/>
              <w:rPr>
                <w:b/>
                <w:sz w:val="20"/>
                <w:szCs w:val="20"/>
              </w:rPr>
            </w:pPr>
            <w:r>
              <w:rPr>
                <w:b/>
                <w:sz w:val="20"/>
                <w:szCs w:val="20"/>
              </w:rPr>
              <w:t>Técnico</w:t>
            </w:r>
          </w:p>
          <w:p w:rsidR="004E4AF8" w:rsidRDefault="00D62302">
            <w:pPr>
              <w:jc w:val="center"/>
              <w:rPr>
                <w:sz w:val="20"/>
                <w:szCs w:val="20"/>
              </w:rPr>
            </w:pPr>
            <w:r>
              <w:rPr>
                <w:sz w:val="20"/>
                <w:szCs w:val="20"/>
              </w:rPr>
              <w:t>&lt;</w:t>
            </w:r>
            <w:r>
              <w:rPr>
                <w:color w:val="0F6FC6"/>
                <w:sz w:val="20"/>
                <w:szCs w:val="20"/>
              </w:rPr>
              <w:t>Nome</w:t>
            </w:r>
            <w:r>
              <w:rPr>
                <w:sz w:val="20"/>
                <w:szCs w:val="20"/>
              </w:rPr>
              <w:t>&gt;</w:t>
            </w:r>
          </w:p>
          <w:p w:rsidR="004E4AF8" w:rsidRDefault="00D62302">
            <w:pPr>
              <w:jc w:val="center"/>
              <w:rPr>
                <w:sz w:val="20"/>
                <w:szCs w:val="20"/>
              </w:rPr>
            </w:pPr>
            <w:r>
              <w:rPr>
                <w:sz w:val="20"/>
                <w:szCs w:val="20"/>
              </w:rPr>
              <w:t>&lt;</w:t>
            </w:r>
            <w:r>
              <w:rPr>
                <w:color w:val="0F6FC6"/>
                <w:sz w:val="20"/>
                <w:szCs w:val="20"/>
              </w:rPr>
              <w:t>Cargo</w:t>
            </w:r>
            <w:r>
              <w:rPr>
                <w:sz w:val="20"/>
                <w:szCs w:val="20"/>
              </w:rPr>
              <w:t>&gt;</w:t>
            </w:r>
          </w:p>
          <w:p w:rsidR="004E4AF8" w:rsidRDefault="00D62302">
            <w:pPr>
              <w:jc w:val="center"/>
              <w:rPr>
                <w:sz w:val="20"/>
                <w:szCs w:val="20"/>
              </w:rPr>
            </w:pPr>
            <w:r>
              <w:rPr>
                <w:sz w:val="20"/>
                <w:szCs w:val="20"/>
              </w:rPr>
              <w:t>&lt;</w:t>
            </w:r>
            <w:r>
              <w:rPr>
                <w:color w:val="0F6FC6"/>
                <w:sz w:val="20"/>
                <w:szCs w:val="20"/>
              </w:rPr>
              <w:t>Matrícula</w:t>
            </w:r>
            <w:r>
              <w:rPr>
                <w:sz w:val="20"/>
                <w:szCs w:val="20"/>
              </w:rPr>
              <w:t>&gt;</w:t>
            </w:r>
          </w:p>
        </w:tc>
        <w:tc>
          <w:tcPr>
            <w:tcW w:w="3210" w:type="dxa"/>
            <w:shd w:val="clear" w:color="auto" w:fill="auto"/>
          </w:tcPr>
          <w:p w:rsidR="004E4AF8" w:rsidRDefault="004E4AF8">
            <w:pPr>
              <w:jc w:val="center"/>
              <w:rPr>
                <w:sz w:val="20"/>
                <w:szCs w:val="20"/>
              </w:rPr>
            </w:pPr>
          </w:p>
          <w:p w:rsidR="004E4AF8" w:rsidRDefault="00D62302">
            <w:pPr>
              <w:jc w:val="center"/>
              <w:rPr>
                <w:sz w:val="20"/>
                <w:szCs w:val="20"/>
              </w:rPr>
            </w:pPr>
            <w:r>
              <w:rPr>
                <w:sz w:val="20"/>
                <w:szCs w:val="20"/>
              </w:rPr>
              <w:t>____________________________</w:t>
            </w:r>
          </w:p>
          <w:p w:rsidR="004E4AF8" w:rsidRDefault="00D62302">
            <w:pPr>
              <w:jc w:val="center"/>
              <w:rPr>
                <w:b/>
                <w:sz w:val="20"/>
                <w:szCs w:val="20"/>
              </w:rPr>
            </w:pPr>
            <w:r>
              <w:rPr>
                <w:b/>
                <w:sz w:val="20"/>
                <w:szCs w:val="20"/>
              </w:rPr>
              <w:t>Fiscal</w:t>
            </w:r>
          </w:p>
          <w:p w:rsidR="004E4AF8" w:rsidRDefault="00D62302">
            <w:pPr>
              <w:jc w:val="center"/>
              <w:rPr>
                <w:b/>
                <w:sz w:val="20"/>
                <w:szCs w:val="20"/>
              </w:rPr>
            </w:pPr>
            <w:r>
              <w:rPr>
                <w:b/>
                <w:sz w:val="20"/>
                <w:szCs w:val="20"/>
              </w:rPr>
              <w:t>Administrativo</w:t>
            </w:r>
          </w:p>
          <w:p w:rsidR="004E4AF8" w:rsidRDefault="00D62302">
            <w:pPr>
              <w:jc w:val="center"/>
              <w:rPr>
                <w:sz w:val="20"/>
                <w:szCs w:val="20"/>
              </w:rPr>
            </w:pPr>
            <w:r>
              <w:rPr>
                <w:sz w:val="20"/>
                <w:szCs w:val="20"/>
              </w:rPr>
              <w:t>&lt;</w:t>
            </w:r>
            <w:r>
              <w:rPr>
                <w:color w:val="0F6FC6"/>
                <w:sz w:val="20"/>
                <w:szCs w:val="20"/>
              </w:rPr>
              <w:t>Nome</w:t>
            </w:r>
            <w:r>
              <w:rPr>
                <w:sz w:val="20"/>
                <w:szCs w:val="20"/>
              </w:rPr>
              <w:t>&gt;</w:t>
            </w:r>
          </w:p>
          <w:p w:rsidR="004E4AF8" w:rsidRDefault="00D62302">
            <w:pPr>
              <w:jc w:val="center"/>
              <w:rPr>
                <w:sz w:val="20"/>
                <w:szCs w:val="20"/>
              </w:rPr>
            </w:pPr>
            <w:r>
              <w:rPr>
                <w:sz w:val="20"/>
                <w:szCs w:val="20"/>
              </w:rPr>
              <w:t>&lt;</w:t>
            </w:r>
            <w:r>
              <w:rPr>
                <w:color w:val="0F6FC6"/>
                <w:sz w:val="20"/>
                <w:szCs w:val="20"/>
              </w:rPr>
              <w:t>Cargo</w:t>
            </w:r>
            <w:r>
              <w:rPr>
                <w:sz w:val="20"/>
                <w:szCs w:val="20"/>
              </w:rPr>
              <w:t>&gt;</w:t>
            </w:r>
          </w:p>
          <w:p w:rsidR="004E4AF8" w:rsidRDefault="00D62302">
            <w:pPr>
              <w:jc w:val="center"/>
              <w:rPr>
                <w:sz w:val="20"/>
                <w:szCs w:val="20"/>
              </w:rPr>
            </w:pPr>
            <w:r>
              <w:rPr>
                <w:sz w:val="20"/>
                <w:szCs w:val="20"/>
              </w:rPr>
              <w:t>&lt;</w:t>
            </w:r>
            <w:r>
              <w:rPr>
                <w:color w:val="0F6FC6"/>
                <w:sz w:val="20"/>
                <w:szCs w:val="20"/>
              </w:rPr>
              <w:t>Matrícula</w:t>
            </w:r>
            <w:r>
              <w:rPr>
                <w:sz w:val="20"/>
                <w:szCs w:val="20"/>
              </w:rPr>
              <w:t>&gt;</w:t>
            </w:r>
          </w:p>
        </w:tc>
      </w:tr>
      <w:tr w:rsidR="004E4AF8">
        <w:trPr>
          <w:trHeight w:val="1028"/>
        </w:trPr>
        <w:tc>
          <w:tcPr>
            <w:tcW w:w="9628" w:type="dxa"/>
            <w:gridSpan w:val="3"/>
            <w:shd w:val="clear" w:color="auto" w:fill="auto"/>
          </w:tcPr>
          <w:p w:rsidR="004E4AF8" w:rsidRDefault="004E4AF8">
            <w:pPr>
              <w:jc w:val="center"/>
            </w:pPr>
          </w:p>
          <w:p w:rsidR="004E4AF8" w:rsidRDefault="00D62302">
            <w:pPr>
              <w:jc w:val="center"/>
            </w:pPr>
            <w:r>
              <w:t>________________________________________</w:t>
            </w:r>
          </w:p>
          <w:p w:rsidR="004E4AF8" w:rsidRDefault="00D62302">
            <w:pPr>
              <w:jc w:val="center"/>
              <w:rPr>
                <w:b/>
              </w:rPr>
            </w:pPr>
            <w:r>
              <w:rPr>
                <w:b/>
              </w:rPr>
              <w:t>Gestor do Contrato</w:t>
            </w:r>
          </w:p>
          <w:p w:rsidR="004E4AF8" w:rsidRDefault="00D62302">
            <w:pPr>
              <w:jc w:val="center"/>
              <w:rPr>
                <w:b/>
              </w:rPr>
            </w:pPr>
            <w:r>
              <w:rPr>
                <w:b/>
              </w:rPr>
              <w:t>(Aplica-se somente quando da execução do contrato)</w:t>
            </w:r>
          </w:p>
          <w:p w:rsidR="004E4AF8" w:rsidRDefault="00D62302">
            <w:pPr>
              <w:jc w:val="center"/>
            </w:pPr>
            <w:r>
              <w:t>&lt;</w:t>
            </w:r>
            <w:r>
              <w:rPr>
                <w:color w:val="0F6FC6"/>
              </w:rPr>
              <w:t>Nome</w:t>
            </w:r>
            <w:r>
              <w:t>&gt;</w:t>
            </w:r>
          </w:p>
          <w:p w:rsidR="004E4AF8" w:rsidRDefault="00D62302">
            <w:pPr>
              <w:jc w:val="center"/>
            </w:pPr>
            <w:r>
              <w:lastRenderedPageBreak/>
              <w:t>&lt;</w:t>
            </w:r>
            <w:r>
              <w:rPr>
                <w:color w:val="0F6FC6"/>
              </w:rPr>
              <w:t>Cargo</w:t>
            </w:r>
            <w:r>
              <w:t>&gt;</w:t>
            </w:r>
          </w:p>
          <w:p w:rsidR="004E4AF8" w:rsidRDefault="00D62302">
            <w:pPr>
              <w:jc w:val="center"/>
            </w:pPr>
            <w:r>
              <w:t>&lt;</w:t>
            </w:r>
            <w:r>
              <w:rPr>
                <w:color w:val="0F6FC6"/>
              </w:rPr>
              <w:t>Matrícula</w:t>
            </w:r>
            <w:r>
              <w:t>&gt;</w:t>
            </w:r>
          </w:p>
          <w:p w:rsidR="004E4AF8" w:rsidRDefault="004E4AF8">
            <w:pPr>
              <w:jc w:val="center"/>
            </w:pPr>
          </w:p>
          <w:p w:rsidR="004E4AF8" w:rsidRDefault="00D62302">
            <w:pPr>
              <w:jc w:val="center"/>
            </w:pPr>
            <w:r>
              <w:t>&lt;</w:t>
            </w:r>
            <w:r>
              <w:rPr>
                <w:color w:val="0F6FC6"/>
              </w:rPr>
              <w:t>Local</w:t>
            </w:r>
            <w:r>
              <w:t>&gt;, &lt;</w:t>
            </w:r>
            <w:r>
              <w:rPr>
                <w:color w:val="0F6FC6"/>
              </w:rPr>
              <w:t>dia</w:t>
            </w:r>
            <w:r>
              <w:t>&gt; de &lt;</w:t>
            </w:r>
            <w:r>
              <w:rPr>
                <w:color w:val="0F6FC6"/>
              </w:rPr>
              <w:t>mês</w:t>
            </w:r>
            <w:r>
              <w:t>&gt; de &lt;</w:t>
            </w:r>
            <w:r>
              <w:rPr>
                <w:color w:val="0F6FC6"/>
              </w:rPr>
              <w:t>ano</w:t>
            </w:r>
            <w:r>
              <w:t>&gt;.</w:t>
            </w:r>
          </w:p>
        </w:tc>
      </w:tr>
    </w:tbl>
    <w:p w:rsidR="004E4AF8" w:rsidRDefault="004E4AF8">
      <w:pPr>
        <w:spacing w:line="259" w:lineRule="auto"/>
        <w:jc w:val="left"/>
      </w:pPr>
    </w:p>
    <w:p w:rsidR="004E4AF8" w:rsidRDefault="00D62302">
      <w:r>
        <w:br w:type="page"/>
      </w:r>
    </w:p>
    <w:p w:rsidR="004E4AF8" w:rsidRDefault="00D62302">
      <w:pPr>
        <w:pStyle w:val="Ttulo2"/>
        <w:numPr>
          <w:ilvl w:val="1"/>
          <w:numId w:val="5"/>
        </w:numPr>
      </w:pPr>
      <w:bookmarkStart w:id="33" w:name="_heading=h.2p2csry" w:colFirst="0" w:colLast="0"/>
      <w:bookmarkEnd w:id="33"/>
      <w:r>
        <w:lastRenderedPageBreak/>
        <w:t>Modelo de Execução do Contrato</w:t>
      </w:r>
    </w:p>
    <w:p w:rsidR="004E4AF8" w:rsidRDefault="004E4AF8">
      <w:pPr>
        <w:jc w:val="center"/>
        <w:rPr>
          <w:b/>
          <w:sz w:val="32"/>
          <w:szCs w:val="32"/>
        </w:rPr>
      </w:pPr>
    </w:p>
    <w:p w:rsidR="004E4AF8" w:rsidRDefault="00D62302">
      <w:pPr>
        <w:jc w:val="center"/>
        <w:rPr>
          <w:b/>
          <w:sz w:val="32"/>
          <w:szCs w:val="32"/>
        </w:rPr>
      </w:pPr>
      <w:r>
        <w:rPr>
          <w:b/>
          <w:sz w:val="32"/>
          <w:szCs w:val="32"/>
        </w:rPr>
        <w:t xml:space="preserve">EXECUÇÃO DO CONTRATO </w:t>
      </w:r>
    </w:p>
    <w:p w:rsidR="004E4AF8" w:rsidRDefault="004E4AF8">
      <w:pPr>
        <w:jc w:val="center"/>
        <w:rPr>
          <w:b/>
          <w:sz w:val="32"/>
          <w:szCs w:val="32"/>
        </w:rPr>
      </w:pPr>
    </w:p>
    <w:p w:rsidR="004E4AF8" w:rsidRDefault="004E4AF8">
      <w:pPr>
        <w:jc w:val="center"/>
        <w:rPr>
          <w:b/>
        </w:rPr>
      </w:pPr>
    </w:p>
    <w:p w:rsidR="004E4AF8" w:rsidRDefault="00D62302">
      <w:pPr>
        <w:jc w:val="center"/>
        <w:rPr>
          <w:b/>
        </w:rPr>
      </w:pPr>
      <w:r>
        <w:rPr>
          <w:b/>
        </w:rPr>
        <w:t>HISTÓRICO DE REVISÕES</w:t>
      </w:r>
    </w:p>
    <w:tbl>
      <w:tblPr>
        <w:tblStyle w:val="affffffffffffffffffc"/>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1696"/>
        <w:gridCol w:w="1276"/>
        <w:gridCol w:w="4111"/>
        <w:gridCol w:w="2545"/>
      </w:tblGrid>
      <w:tr w:rsidR="004E4AF8" w:rsidTr="004E4AF8">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t>DATA</w:t>
            </w:r>
          </w:p>
        </w:tc>
        <w:tc>
          <w:tcPr>
            <w:tcW w:w="1276"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VERSÃO</w:t>
            </w:r>
          </w:p>
        </w:tc>
        <w:tc>
          <w:tcPr>
            <w:tcW w:w="4111"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DESCRIÇÃO</w:t>
            </w:r>
          </w:p>
        </w:tc>
        <w:tc>
          <w:tcPr>
            <w:tcW w:w="254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AUTOR</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pPr>
            <w:r>
              <w:t>1.0</w:t>
            </w:r>
          </w:p>
        </w:tc>
        <w:tc>
          <w:tcPr>
            <w:tcW w:w="4111"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color w:val="0F6FC6"/>
              </w:rPr>
            </w:pPr>
            <w:r>
              <w:rPr>
                <w:color w:val="0F6FC6"/>
              </w:rPr>
              <w:t>Finalização da primeira versão do documento</w:t>
            </w:r>
          </w:p>
        </w:tc>
        <w:tc>
          <w:tcPr>
            <w:tcW w:w="25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0F6FC6"/>
              </w:rPr>
            </w:pPr>
            <w:r>
              <w:rPr>
                <w:color w:val="0F6FC6"/>
              </w:rPr>
              <w:t>XXXXXXXXXXX</w:t>
            </w: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pPr>
            <w:r>
              <w:t>2.0</w:t>
            </w:r>
          </w:p>
        </w:tc>
        <w:tc>
          <w:tcPr>
            <w:tcW w:w="4111"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color w:val="0F6FC6"/>
              </w:rPr>
            </w:pPr>
            <w:r>
              <w:rPr>
                <w:color w:val="0F6FC6"/>
              </w:rPr>
              <w:t>Revisão do documento após análise jurídica</w:t>
            </w:r>
          </w:p>
        </w:tc>
        <w:tc>
          <w:tcPr>
            <w:tcW w:w="25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0F6FC6"/>
              </w:rPr>
            </w:pPr>
            <w:r>
              <w:rPr>
                <w:color w:val="0F6FC6"/>
              </w:rPr>
              <w:t>XXXXXXXXXXX</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c>
          <w:tcPr>
            <w:tcW w:w="4111" w:type="dxa"/>
            <w:vAlign w:val="center"/>
          </w:tcPr>
          <w:p w:rsidR="004E4AF8" w:rsidRDefault="004E4AF8">
            <w:pPr>
              <w:cnfStyle w:val="000000100000" w:firstRow="0" w:lastRow="0" w:firstColumn="0" w:lastColumn="0" w:oddVBand="0" w:evenVBand="0" w:oddHBand="1" w:evenHBand="0" w:firstRowFirstColumn="0" w:firstRowLastColumn="0" w:lastRowFirstColumn="0" w:lastRowLastColumn="0"/>
            </w:pPr>
          </w:p>
        </w:tc>
        <w:tc>
          <w:tcPr>
            <w:tcW w:w="2545"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c>
          <w:tcPr>
            <w:tcW w:w="4111" w:type="dxa"/>
            <w:vAlign w:val="center"/>
          </w:tcPr>
          <w:p w:rsidR="004E4AF8" w:rsidRDefault="004E4AF8">
            <w:pPr>
              <w:cnfStyle w:val="000000000000" w:firstRow="0" w:lastRow="0" w:firstColumn="0" w:lastColumn="0" w:oddVBand="0" w:evenVBand="0" w:oddHBand="0" w:evenHBand="0" w:firstRowFirstColumn="0" w:firstRowLastColumn="0" w:lastRowFirstColumn="0" w:lastRowLastColumn="0"/>
            </w:pPr>
          </w:p>
        </w:tc>
        <w:tc>
          <w:tcPr>
            <w:tcW w:w="2545"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r>
    </w:tbl>
    <w:p w:rsidR="004E4AF8" w:rsidRDefault="004E4AF8">
      <w:pPr>
        <w:spacing w:line="259" w:lineRule="auto"/>
        <w:jc w:val="left"/>
      </w:pPr>
    </w:p>
    <w:p w:rsidR="004E4AF8" w:rsidRDefault="00D62302">
      <w:pPr>
        <w:spacing w:line="259" w:lineRule="auto"/>
        <w:jc w:val="left"/>
      </w:pPr>
      <w:r>
        <w:br w:type="page"/>
      </w:r>
    </w:p>
    <w:p w:rsidR="004E4AF8" w:rsidRDefault="00D62302">
      <w:pPr>
        <w:jc w:val="center"/>
        <w:rPr>
          <w:b/>
        </w:rPr>
      </w:pPr>
      <w:r>
        <w:rPr>
          <w:b/>
          <w:sz w:val="32"/>
          <w:szCs w:val="32"/>
        </w:rPr>
        <w:lastRenderedPageBreak/>
        <w:t xml:space="preserve">EXECUÇÃO DO CONTRATO </w:t>
      </w:r>
    </w:p>
    <w:tbl>
      <w:tblPr>
        <w:tblStyle w:val="affffffffffffffffffd"/>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tcBorders>
              <w:bottom w:val="single" w:sz="4" w:space="0" w:color="000000"/>
            </w:tcBorders>
            <w:shd w:val="clear" w:color="auto" w:fill="BFBFBF"/>
          </w:tcPr>
          <w:p w:rsidR="004E4AF8" w:rsidRDefault="00D62302">
            <w:pPr>
              <w:spacing w:line="259" w:lineRule="auto"/>
              <w:rPr>
                <w:b/>
              </w:rPr>
            </w:pPr>
            <w:r>
              <w:rPr>
                <w:b/>
              </w:rPr>
              <w:t>1 – INTRODUÇÃO</w:t>
            </w:r>
          </w:p>
        </w:tc>
      </w:tr>
      <w:tr w:rsidR="004E4AF8">
        <w:trPr>
          <w:trHeight w:val="375"/>
        </w:trPr>
        <w:tc>
          <w:tcPr>
            <w:tcW w:w="9628" w:type="dxa"/>
            <w:shd w:val="clear" w:color="auto" w:fill="auto"/>
          </w:tcPr>
          <w:p w:rsidR="004E4AF8" w:rsidRDefault="004E4AF8">
            <w:pPr>
              <w:rPr>
                <w:sz w:val="22"/>
                <w:szCs w:val="22"/>
              </w:rPr>
            </w:pPr>
          </w:p>
          <w:p w:rsidR="004E4AF8" w:rsidRDefault="00D62302">
            <w:pPr>
              <w:rPr>
                <w:sz w:val="22"/>
                <w:szCs w:val="22"/>
              </w:rPr>
            </w:pPr>
            <w:r>
              <w:rPr>
                <w:sz w:val="22"/>
                <w:szCs w:val="22"/>
              </w:rPr>
              <w:t xml:space="preserve">Em conformidade com o art. </w:t>
            </w:r>
            <w:r>
              <w:rPr>
                <w:color w:val="0F6FC6"/>
                <w:sz w:val="22"/>
                <w:szCs w:val="22"/>
              </w:rPr>
              <w:t xml:space="preserve">XX </w:t>
            </w:r>
            <w:r>
              <w:rPr>
                <w:sz w:val="22"/>
                <w:szCs w:val="22"/>
              </w:rPr>
              <w:t xml:space="preserve">da Resolução CNJ n° </w:t>
            </w:r>
            <w:r>
              <w:rPr>
                <w:color w:val="0F6FC6"/>
                <w:sz w:val="22"/>
                <w:szCs w:val="22"/>
              </w:rPr>
              <w:t>XXX</w:t>
            </w:r>
            <w:r>
              <w:rPr>
                <w:sz w:val="22"/>
                <w:szCs w:val="22"/>
              </w:rPr>
              <w:t xml:space="preserve">, de </w:t>
            </w:r>
            <w:r>
              <w:rPr>
                <w:color w:val="0F6FC6"/>
                <w:sz w:val="22"/>
                <w:szCs w:val="22"/>
              </w:rPr>
              <w:t xml:space="preserve">XX </w:t>
            </w:r>
            <w:r>
              <w:rPr>
                <w:sz w:val="22"/>
                <w:szCs w:val="22"/>
              </w:rPr>
              <w:t xml:space="preserve">de </w:t>
            </w:r>
            <w:r>
              <w:rPr>
                <w:color w:val="0F6FC6"/>
                <w:sz w:val="22"/>
                <w:szCs w:val="22"/>
              </w:rPr>
              <w:t xml:space="preserve">XXX </w:t>
            </w:r>
            <w:r>
              <w:rPr>
                <w:sz w:val="22"/>
                <w:szCs w:val="22"/>
              </w:rPr>
              <w:t xml:space="preserve">de </w:t>
            </w:r>
            <w:r>
              <w:rPr>
                <w:color w:val="0F6FC6"/>
                <w:sz w:val="22"/>
                <w:szCs w:val="22"/>
              </w:rPr>
              <w:t>20XX</w:t>
            </w:r>
            <w:r>
              <w:rPr>
                <w:sz w:val="22"/>
                <w:szCs w:val="22"/>
              </w:rPr>
              <w:t>, o Modelo de Execução do Contrato deverá contemplar as condições necessárias ao fornecimento das soluções de TI.</w:t>
            </w:r>
          </w:p>
          <w:p w:rsidR="004E4AF8" w:rsidRDefault="004E4AF8">
            <w:pPr>
              <w:rPr>
                <w:sz w:val="22"/>
                <w:szCs w:val="22"/>
              </w:rPr>
            </w:pPr>
          </w:p>
          <w:p w:rsidR="004E4AF8" w:rsidRDefault="00D62302">
            <w:pPr>
              <w:rPr>
                <w:b/>
                <w:sz w:val="22"/>
                <w:szCs w:val="22"/>
              </w:rPr>
            </w:pPr>
            <w:r>
              <w:rPr>
                <w:b/>
                <w:sz w:val="22"/>
                <w:szCs w:val="22"/>
              </w:rPr>
              <w:t xml:space="preserve">Referência: Art. </w:t>
            </w:r>
            <w:r>
              <w:rPr>
                <w:b/>
                <w:color w:val="0F6FC6"/>
                <w:sz w:val="22"/>
                <w:szCs w:val="22"/>
              </w:rPr>
              <w:t xml:space="preserve">XX </w:t>
            </w:r>
            <w:r>
              <w:rPr>
                <w:b/>
                <w:sz w:val="22"/>
                <w:szCs w:val="22"/>
              </w:rPr>
              <w:t xml:space="preserve">da Resolução CNJ Nº </w:t>
            </w:r>
            <w:r>
              <w:rPr>
                <w:b/>
                <w:color w:val="0F6FC6"/>
                <w:sz w:val="22"/>
                <w:szCs w:val="22"/>
              </w:rPr>
              <w:t xml:space="preserve">XXX </w:t>
            </w:r>
            <w:r>
              <w:rPr>
                <w:b/>
                <w:sz w:val="22"/>
                <w:szCs w:val="22"/>
              </w:rPr>
              <w:t>/</w:t>
            </w:r>
            <w:r>
              <w:rPr>
                <w:b/>
                <w:color w:val="0F6FC6"/>
                <w:sz w:val="22"/>
                <w:szCs w:val="22"/>
              </w:rPr>
              <w:t>20XX</w:t>
            </w:r>
            <w:r>
              <w:rPr>
                <w:b/>
                <w:sz w:val="22"/>
                <w:szCs w:val="22"/>
              </w:rPr>
              <w:t>.</w:t>
            </w:r>
          </w:p>
          <w:p w:rsidR="004E4AF8" w:rsidRDefault="004E4AF8">
            <w:pPr>
              <w:rPr>
                <w:sz w:val="22"/>
                <w:szCs w:val="22"/>
              </w:rPr>
            </w:pPr>
          </w:p>
        </w:tc>
      </w:tr>
    </w:tbl>
    <w:p w:rsidR="004E4AF8" w:rsidRDefault="004E4AF8">
      <w:pPr>
        <w:spacing w:after="0" w:line="240" w:lineRule="auto"/>
        <w:jc w:val="left"/>
      </w:pPr>
    </w:p>
    <w:tbl>
      <w:tblPr>
        <w:tblStyle w:val="affffffffffffffffffe"/>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tcBorders>
              <w:bottom w:val="single" w:sz="4" w:space="0" w:color="000000"/>
            </w:tcBorders>
            <w:shd w:val="clear" w:color="auto" w:fill="BFBFBF"/>
          </w:tcPr>
          <w:p w:rsidR="004E4AF8" w:rsidRDefault="00D62302">
            <w:pPr>
              <w:spacing w:line="259" w:lineRule="auto"/>
              <w:rPr>
                <w:b/>
              </w:rPr>
            </w:pPr>
            <w:r>
              <w:rPr>
                <w:b/>
              </w:rPr>
              <w:t>2 – ROTINAS DE EXECUÇÃO</w:t>
            </w:r>
          </w:p>
        </w:tc>
      </w:tr>
      <w:tr w:rsidR="004E4AF8">
        <w:trPr>
          <w:trHeight w:val="710"/>
        </w:trPr>
        <w:tc>
          <w:tcPr>
            <w:tcW w:w="9628" w:type="dxa"/>
            <w:shd w:val="clear" w:color="auto" w:fill="auto"/>
          </w:tcPr>
          <w:p w:rsidR="004E4AF8" w:rsidRDefault="00D62302">
            <w:pPr>
              <w:rPr>
                <w:sz w:val="22"/>
                <w:szCs w:val="22"/>
              </w:rPr>
            </w:pPr>
            <w:r>
              <w:rPr>
                <w:sz w:val="22"/>
                <w:szCs w:val="22"/>
              </w:rPr>
              <w:t>Prazos</w:t>
            </w:r>
          </w:p>
        </w:tc>
      </w:tr>
      <w:tr w:rsidR="004E4AF8">
        <w:trPr>
          <w:trHeight w:val="710"/>
        </w:trPr>
        <w:tc>
          <w:tcPr>
            <w:tcW w:w="9628" w:type="dxa"/>
            <w:shd w:val="clear" w:color="auto" w:fill="auto"/>
          </w:tcPr>
          <w:p w:rsidR="004E4AF8" w:rsidRDefault="00D62302">
            <w:pPr>
              <w:rPr>
                <w:sz w:val="22"/>
                <w:szCs w:val="22"/>
              </w:rPr>
            </w:pPr>
            <w:r>
              <w:rPr>
                <w:sz w:val="22"/>
                <w:szCs w:val="22"/>
              </w:rPr>
              <w:t>Horários</w:t>
            </w:r>
          </w:p>
        </w:tc>
      </w:tr>
      <w:tr w:rsidR="004E4AF8">
        <w:trPr>
          <w:trHeight w:val="710"/>
        </w:trPr>
        <w:tc>
          <w:tcPr>
            <w:tcW w:w="9628" w:type="dxa"/>
            <w:shd w:val="clear" w:color="auto" w:fill="auto"/>
          </w:tcPr>
          <w:p w:rsidR="004E4AF8" w:rsidRDefault="00D62302">
            <w:pPr>
              <w:rPr>
                <w:sz w:val="22"/>
                <w:szCs w:val="22"/>
              </w:rPr>
            </w:pPr>
            <w:r>
              <w:rPr>
                <w:sz w:val="22"/>
                <w:szCs w:val="22"/>
              </w:rPr>
              <w:t>Local de Entrega</w:t>
            </w:r>
          </w:p>
        </w:tc>
      </w:tr>
    </w:tbl>
    <w:p w:rsidR="004E4AF8" w:rsidRDefault="004E4AF8">
      <w:pPr>
        <w:spacing w:after="0" w:line="240" w:lineRule="auto"/>
        <w:jc w:val="left"/>
      </w:pPr>
    </w:p>
    <w:tbl>
      <w:tblPr>
        <w:tblStyle w:val="afffffffffffffffffff"/>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tcBorders>
              <w:bottom w:val="single" w:sz="4" w:space="0" w:color="000000"/>
            </w:tcBorders>
            <w:shd w:val="clear" w:color="auto" w:fill="BFBFBF"/>
          </w:tcPr>
          <w:p w:rsidR="004E4AF8" w:rsidRDefault="00D62302">
            <w:pPr>
              <w:spacing w:line="259" w:lineRule="auto"/>
              <w:rPr>
                <w:b/>
              </w:rPr>
            </w:pPr>
            <w:r>
              <w:rPr>
                <w:b/>
              </w:rPr>
              <w:t>3 – QUANTIDADE MÍNIMA DE BENS OU SERVIÇOS PARA COMPARAÇÃO E</w:t>
            </w:r>
            <w:r>
              <w:rPr>
                <w:b/>
              </w:rPr>
              <w:br/>
              <w:t>CONTROLE</w:t>
            </w:r>
          </w:p>
        </w:tc>
      </w:tr>
      <w:tr w:rsidR="004E4AF8">
        <w:trPr>
          <w:trHeight w:val="710"/>
        </w:trPr>
        <w:tc>
          <w:tcPr>
            <w:tcW w:w="9628" w:type="dxa"/>
            <w:shd w:val="clear" w:color="auto" w:fill="auto"/>
          </w:tcPr>
          <w:p w:rsidR="004E4AF8" w:rsidRDefault="004E4AF8">
            <w:pPr>
              <w:rPr>
                <w:sz w:val="22"/>
                <w:szCs w:val="22"/>
              </w:rPr>
            </w:pPr>
          </w:p>
        </w:tc>
      </w:tr>
      <w:tr w:rsidR="004E4AF8">
        <w:trPr>
          <w:trHeight w:val="710"/>
        </w:trPr>
        <w:tc>
          <w:tcPr>
            <w:tcW w:w="9628" w:type="dxa"/>
            <w:shd w:val="clear" w:color="auto" w:fill="auto"/>
          </w:tcPr>
          <w:p w:rsidR="004E4AF8" w:rsidRDefault="004E4AF8">
            <w:pPr>
              <w:rPr>
                <w:sz w:val="22"/>
                <w:szCs w:val="22"/>
              </w:rPr>
            </w:pPr>
          </w:p>
        </w:tc>
      </w:tr>
    </w:tbl>
    <w:p w:rsidR="004E4AF8" w:rsidRDefault="004E4AF8">
      <w:pPr>
        <w:spacing w:after="0" w:line="240" w:lineRule="auto"/>
        <w:jc w:val="left"/>
      </w:pPr>
    </w:p>
    <w:tbl>
      <w:tblPr>
        <w:tblStyle w:val="afffffffffffffffffff0"/>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tcBorders>
              <w:bottom w:val="single" w:sz="4" w:space="0" w:color="000000"/>
            </w:tcBorders>
            <w:shd w:val="clear" w:color="auto" w:fill="BFBFBF"/>
          </w:tcPr>
          <w:p w:rsidR="004E4AF8" w:rsidRDefault="00D62302">
            <w:pPr>
              <w:spacing w:line="259" w:lineRule="auto"/>
              <w:rPr>
                <w:b/>
              </w:rPr>
            </w:pPr>
            <w:r>
              <w:rPr>
                <w:b/>
              </w:rPr>
              <w:t>4 – MECANISMOS FORMAIS DE COMUNICAÇÃO ENTRE A CONTRATADA E A</w:t>
            </w:r>
            <w:r>
              <w:rPr>
                <w:b/>
              </w:rPr>
              <w:br/>
              <w:t>ADMINISTRAÇÃO</w:t>
            </w:r>
          </w:p>
        </w:tc>
      </w:tr>
      <w:tr w:rsidR="004E4AF8">
        <w:trPr>
          <w:trHeight w:val="710"/>
        </w:trPr>
        <w:tc>
          <w:tcPr>
            <w:tcW w:w="9628" w:type="dxa"/>
            <w:shd w:val="clear" w:color="auto" w:fill="auto"/>
          </w:tcPr>
          <w:p w:rsidR="004E4AF8" w:rsidRDefault="004E4AF8">
            <w:pPr>
              <w:rPr>
                <w:sz w:val="22"/>
                <w:szCs w:val="22"/>
              </w:rPr>
            </w:pPr>
          </w:p>
        </w:tc>
      </w:tr>
      <w:tr w:rsidR="004E4AF8">
        <w:trPr>
          <w:trHeight w:val="710"/>
        </w:trPr>
        <w:tc>
          <w:tcPr>
            <w:tcW w:w="9628" w:type="dxa"/>
            <w:shd w:val="clear" w:color="auto" w:fill="auto"/>
          </w:tcPr>
          <w:p w:rsidR="004E4AF8" w:rsidRDefault="004E4AF8">
            <w:pPr>
              <w:rPr>
                <w:sz w:val="22"/>
                <w:szCs w:val="22"/>
              </w:rPr>
            </w:pPr>
          </w:p>
        </w:tc>
      </w:tr>
    </w:tbl>
    <w:p w:rsidR="004E4AF8" w:rsidRDefault="004E4AF8">
      <w:pPr>
        <w:spacing w:after="0" w:line="240" w:lineRule="auto"/>
        <w:jc w:val="left"/>
      </w:pPr>
    </w:p>
    <w:tbl>
      <w:tblPr>
        <w:tblStyle w:val="afffffffffffffffffff1"/>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tcBorders>
              <w:bottom w:val="single" w:sz="4" w:space="0" w:color="000000"/>
            </w:tcBorders>
            <w:shd w:val="clear" w:color="auto" w:fill="BFBFBF"/>
          </w:tcPr>
          <w:p w:rsidR="004E4AF8" w:rsidRDefault="00D62302">
            <w:pPr>
              <w:spacing w:line="259" w:lineRule="auto"/>
              <w:rPr>
                <w:b/>
              </w:rPr>
            </w:pPr>
            <w:r>
              <w:rPr>
                <w:b/>
              </w:rPr>
              <w:t>5 – FORMA DE PAGAMENTO EM FUNÇÃO DOS RESULTADOS</w:t>
            </w:r>
          </w:p>
        </w:tc>
      </w:tr>
      <w:tr w:rsidR="004E4AF8">
        <w:trPr>
          <w:trHeight w:val="710"/>
        </w:trPr>
        <w:tc>
          <w:tcPr>
            <w:tcW w:w="9628" w:type="dxa"/>
            <w:shd w:val="clear" w:color="auto" w:fill="auto"/>
          </w:tcPr>
          <w:p w:rsidR="004E4AF8" w:rsidRDefault="004E4AF8">
            <w:pPr>
              <w:rPr>
                <w:sz w:val="22"/>
                <w:szCs w:val="22"/>
              </w:rPr>
            </w:pPr>
          </w:p>
        </w:tc>
      </w:tr>
      <w:tr w:rsidR="004E4AF8">
        <w:trPr>
          <w:trHeight w:val="710"/>
        </w:trPr>
        <w:tc>
          <w:tcPr>
            <w:tcW w:w="9628" w:type="dxa"/>
            <w:shd w:val="clear" w:color="auto" w:fill="auto"/>
          </w:tcPr>
          <w:p w:rsidR="004E4AF8" w:rsidRDefault="004E4AF8">
            <w:pPr>
              <w:rPr>
                <w:sz w:val="22"/>
                <w:szCs w:val="22"/>
              </w:rPr>
            </w:pPr>
          </w:p>
        </w:tc>
      </w:tr>
    </w:tbl>
    <w:p w:rsidR="004E4AF8" w:rsidRDefault="004E4AF8">
      <w:pPr>
        <w:spacing w:line="259" w:lineRule="auto"/>
        <w:jc w:val="left"/>
      </w:pPr>
    </w:p>
    <w:p w:rsidR="004E4AF8" w:rsidRDefault="00D62302">
      <w:pPr>
        <w:spacing w:line="259" w:lineRule="auto"/>
        <w:jc w:val="left"/>
      </w:pPr>
      <w:r>
        <w:br w:type="page"/>
      </w:r>
    </w:p>
    <w:p w:rsidR="004E4AF8" w:rsidRDefault="00D62302">
      <w:pPr>
        <w:pStyle w:val="Ttulo2"/>
        <w:numPr>
          <w:ilvl w:val="1"/>
          <w:numId w:val="5"/>
        </w:numPr>
      </w:pPr>
      <w:bookmarkStart w:id="34" w:name="_heading=h.147n2zr" w:colFirst="0" w:colLast="0"/>
      <w:bookmarkEnd w:id="34"/>
      <w:r>
        <w:lastRenderedPageBreak/>
        <w:t>Modelo de Gestão do Contrato</w:t>
      </w:r>
    </w:p>
    <w:p w:rsidR="004E4AF8" w:rsidRDefault="004E4AF8"/>
    <w:p w:rsidR="004E4AF8" w:rsidRDefault="00D62302">
      <w:pPr>
        <w:jc w:val="center"/>
        <w:rPr>
          <w:b/>
          <w:sz w:val="32"/>
          <w:szCs w:val="32"/>
        </w:rPr>
      </w:pPr>
      <w:r>
        <w:rPr>
          <w:b/>
          <w:sz w:val="32"/>
          <w:szCs w:val="32"/>
        </w:rPr>
        <w:t xml:space="preserve">GESTÃO DO CONTRATO </w:t>
      </w:r>
    </w:p>
    <w:p w:rsidR="004E4AF8" w:rsidRDefault="004E4AF8">
      <w:pPr>
        <w:jc w:val="center"/>
        <w:rPr>
          <w:b/>
          <w:sz w:val="32"/>
          <w:szCs w:val="32"/>
        </w:rPr>
      </w:pPr>
    </w:p>
    <w:p w:rsidR="004E4AF8" w:rsidRDefault="004E4AF8">
      <w:pPr>
        <w:jc w:val="center"/>
        <w:rPr>
          <w:b/>
        </w:rPr>
      </w:pPr>
    </w:p>
    <w:p w:rsidR="004E4AF8" w:rsidRDefault="00D62302">
      <w:pPr>
        <w:jc w:val="center"/>
        <w:rPr>
          <w:b/>
        </w:rPr>
      </w:pPr>
      <w:r>
        <w:rPr>
          <w:b/>
        </w:rPr>
        <w:t>HISTÓRICO DE REVISÕES</w:t>
      </w:r>
    </w:p>
    <w:tbl>
      <w:tblPr>
        <w:tblStyle w:val="afffffffffffffffffff2"/>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1696"/>
        <w:gridCol w:w="1276"/>
        <w:gridCol w:w="4111"/>
        <w:gridCol w:w="2545"/>
      </w:tblGrid>
      <w:tr w:rsidR="004E4AF8" w:rsidTr="004E4AF8">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t>DATA</w:t>
            </w:r>
          </w:p>
        </w:tc>
        <w:tc>
          <w:tcPr>
            <w:tcW w:w="1276"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VERSÃO</w:t>
            </w:r>
          </w:p>
        </w:tc>
        <w:tc>
          <w:tcPr>
            <w:tcW w:w="4111"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DESCRIÇÃO</w:t>
            </w:r>
          </w:p>
        </w:tc>
        <w:tc>
          <w:tcPr>
            <w:tcW w:w="254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AUTOR</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pPr>
            <w:r>
              <w:t>1.0</w:t>
            </w:r>
          </w:p>
        </w:tc>
        <w:tc>
          <w:tcPr>
            <w:tcW w:w="4111"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color w:val="0F6FC6"/>
              </w:rPr>
            </w:pPr>
            <w:r>
              <w:rPr>
                <w:color w:val="0F6FC6"/>
              </w:rPr>
              <w:t>Finalização da primeira versão do documento</w:t>
            </w:r>
          </w:p>
        </w:tc>
        <w:tc>
          <w:tcPr>
            <w:tcW w:w="25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0F6FC6"/>
              </w:rPr>
            </w:pPr>
            <w:r>
              <w:rPr>
                <w:color w:val="0F6FC6"/>
              </w:rPr>
              <w:t>XXXXXXXXXXX</w:t>
            </w: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pPr>
            <w:r>
              <w:t>2.0</w:t>
            </w:r>
          </w:p>
        </w:tc>
        <w:tc>
          <w:tcPr>
            <w:tcW w:w="4111"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color w:val="0F6FC6"/>
              </w:rPr>
            </w:pPr>
            <w:r>
              <w:rPr>
                <w:color w:val="0F6FC6"/>
              </w:rPr>
              <w:t>Revisão do documento após análise jurídica</w:t>
            </w:r>
          </w:p>
        </w:tc>
        <w:tc>
          <w:tcPr>
            <w:tcW w:w="25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0F6FC6"/>
              </w:rPr>
            </w:pPr>
            <w:r>
              <w:rPr>
                <w:color w:val="0F6FC6"/>
              </w:rPr>
              <w:t>XXXXXXXXXXX</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c>
          <w:tcPr>
            <w:tcW w:w="4111" w:type="dxa"/>
            <w:vAlign w:val="center"/>
          </w:tcPr>
          <w:p w:rsidR="004E4AF8" w:rsidRDefault="004E4AF8">
            <w:pPr>
              <w:cnfStyle w:val="000000100000" w:firstRow="0" w:lastRow="0" w:firstColumn="0" w:lastColumn="0" w:oddVBand="0" w:evenVBand="0" w:oddHBand="1" w:evenHBand="0" w:firstRowFirstColumn="0" w:firstRowLastColumn="0" w:lastRowFirstColumn="0" w:lastRowLastColumn="0"/>
            </w:pPr>
          </w:p>
        </w:tc>
        <w:tc>
          <w:tcPr>
            <w:tcW w:w="2545"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c>
          <w:tcPr>
            <w:tcW w:w="4111" w:type="dxa"/>
            <w:vAlign w:val="center"/>
          </w:tcPr>
          <w:p w:rsidR="004E4AF8" w:rsidRDefault="004E4AF8">
            <w:pPr>
              <w:cnfStyle w:val="000000000000" w:firstRow="0" w:lastRow="0" w:firstColumn="0" w:lastColumn="0" w:oddVBand="0" w:evenVBand="0" w:oddHBand="0" w:evenHBand="0" w:firstRowFirstColumn="0" w:firstRowLastColumn="0" w:lastRowFirstColumn="0" w:lastRowLastColumn="0"/>
            </w:pPr>
          </w:p>
        </w:tc>
        <w:tc>
          <w:tcPr>
            <w:tcW w:w="2545"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r>
    </w:tbl>
    <w:p w:rsidR="004E4AF8" w:rsidRDefault="004E4AF8">
      <w:pPr>
        <w:spacing w:line="259" w:lineRule="auto"/>
        <w:jc w:val="left"/>
      </w:pPr>
    </w:p>
    <w:p w:rsidR="004E4AF8" w:rsidRDefault="00D62302">
      <w:pPr>
        <w:spacing w:line="259" w:lineRule="auto"/>
        <w:jc w:val="left"/>
      </w:pPr>
      <w:r>
        <w:br w:type="page"/>
      </w:r>
    </w:p>
    <w:p w:rsidR="004E4AF8" w:rsidRDefault="00D62302">
      <w:pPr>
        <w:jc w:val="center"/>
        <w:rPr>
          <w:b/>
          <w:sz w:val="32"/>
          <w:szCs w:val="32"/>
        </w:rPr>
      </w:pPr>
      <w:r>
        <w:rPr>
          <w:b/>
          <w:sz w:val="32"/>
          <w:szCs w:val="32"/>
        </w:rPr>
        <w:lastRenderedPageBreak/>
        <w:t xml:space="preserve">GESTÃO DO CONTRATO </w:t>
      </w:r>
    </w:p>
    <w:tbl>
      <w:tblPr>
        <w:tblStyle w:val="afffffffffffffffffff3"/>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tcBorders>
              <w:bottom w:val="single" w:sz="4" w:space="0" w:color="000000"/>
            </w:tcBorders>
            <w:shd w:val="clear" w:color="auto" w:fill="BFBFBF"/>
          </w:tcPr>
          <w:p w:rsidR="004E4AF8" w:rsidRDefault="00D62302">
            <w:pPr>
              <w:spacing w:line="259" w:lineRule="auto"/>
              <w:rPr>
                <w:b/>
              </w:rPr>
            </w:pPr>
            <w:r>
              <w:rPr>
                <w:b/>
              </w:rPr>
              <w:t>1 – INTRODUÇÃO</w:t>
            </w:r>
          </w:p>
        </w:tc>
      </w:tr>
      <w:tr w:rsidR="004E4AF8">
        <w:trPr>
          <w:trHeight w:val="375"/>
        </w:trPr>
        <w:tc>
          <w:tcPr>
            <w:tcW w:w="9628" w:type="dxa"/>
            <w:shd w:val="clear" w:color="auto" w:fill="auto"/>
          </w:tcPr>
          <w:p w:rsidR="004E4AF8" w:rsidRDefault="004E4AF8">
            <w:pPr>
              <w:rPr>
                <w:sz w:val="22"/>
                <w:szCs w:val="22"/>
              </w:rPr>
            </w:pPr>
          </w:p>
          <w:p w:rsidR="004E4AF8" w:rsidRDefault="00D62302">
            <w:pPr>
              <w:rPr>
                <w:sz w:val="22"/>
                <w:szCs w:val="22"/>
              </w:rPr>
            </w:pPr>
            <w:r>
              <w:rPr>
                <w:sz w:val="22"/>
                <w:szCs w:val="22"/>
              </w:rPr>
              <w:t xml:space="preserve">Em conformidade com o art. </w:t>
            </w:r>
            <w:r>
              <w:rPr>
                <w:color w:val="0F6FC6"/>
                <w:sz w:val="22"/>
                <w:szCs w:val="22"/>
              </w:rPr>
              <w:t xml:space="preserve">XX </w:t>
            </w:r>
            <w:r>
              <w:rPr>
                <w:sz w:val="22"/>
                <w:szCs w:val="22"/>
              </w:rPr>
              <w:t xml:space="preserve">da Resolução CNJ n° </w:t>
            </w:r>
            <w:r>
              <w:rPr>
                <w:color w:val="0F6FC6"/>
                <w:sz w:val="22"/>
                <w:szCs w:val="22"/>
              </w:rPr>
              <w:t>XXX</w:t>
            </w:r>
            <w:r>
              <w:rPr>
                <w:sz w:val="22"/>
                <w:szCs w:val="22"/>
              </w:rPr>
              <w:t xml:space="preserve">, de </w:t>
            </w:r>
            <w:r>
              <w:rPr>
                <w:color w:val="0F6FC6"/>
                <w:sz w:val="22"/>
                <w:szCs w:val="22"/>
              </w:rPr>
              <w:t xml:space="preserve">XX </w:t>
            </w:r>
            <w:r>
              <w:rPr>
                <w:sz w:val="22"/>
                <w:szCs w:val="22"/>
              </w:rPr>
              <w:t xml:space="preserve">de </w:t>
            </w:r>
            <w:r>
              <w:rPr>
                <w:color w:val="0F6FC6"/>
                <w:sz w:val="22"/>
                <w:szCs w:val="22"/>
              </w:rPr>
              <w:t xml:space="preserve">XXX </w:t>
            </w:r>
            <w:r>
              <w:rPr>
                <w:sz w:val="22"/>
                <w:szCs w:val="22"/>
              </w:rPr>
              <w:t xml:space="preserve">de </w:t>
            </w:r>
            <w:r>
              <w:rPr>
                <w:color w:val="0F6FC6"/>
                <w:sz w:val="22"/>
                <w:szCs w:val="22"/>
              </w:rPr>
              <w:t>20XX</w:t>
            </w:r>
            <w:r>
              <w:rPr>
                <w:sz w:val="22"/>
                <w:szCs w:val="22"/>
              </w:rPr>
              <w:t>, devem ser observadas as informações constantes nos Critérios de Aceitação dispostos no Plano de Fiscalização.</w:t>
            </w:r>
          </w:p>
          <w:p w:rsidR="004E4AF8" w:rsidRDefault="004E4AF8">
            <w:pPr>
              <w:rPr>
                <w:sz w:val="22"/>
                <w:szCs w:val="22"/>
              </w:rPr>
            </w:pPr>
          </w:p>
          <w:p w:rsidR="004E4AF8" w:rsidRDefault="00D62302">
            <w:pPr>
              <w:rPr>
                <w:b/>
                <w:sz w:val="22"/>
                <w:szCs w:val="22"/>
              </w:rPr>
            </w:pPr>
            <w:r>
              <w:rPr>
                <w:b/>
                <w:sz w:val="22"/>
                <w:szCs w:val="22"/>
              </w:rPr>
              <w:t xml:space="preserve">Referência: Art. </w:t>
            </w:r>
            <w:r>
              <w:rPr>
                <w:b/>
                <w:color w:val="0F6FC6"/>
                <w:sz w:val="22"/>
                <w:szCs w:val="22"/>
              </w:rPr>
              <w:t xml:space="preserve">XX </w:t>
            </w:r>
            <w:r>
              <w:rPr>
                <w:b/>
                <w:sz w:val="22"/>
                <w:szCs w:val="22"/>
              </w:rPr>
              <w:t xml:space="preserve">da Resolução CNJ Nº </w:t>
            </w:r>
            <w:r>
              <w:rPr>
                <w:b/>
                <w:color w:val="0F6FC6"/>
                <w:sz w:val="22"/>
                <w:szCs w:val="22"/>
              </w:rPr>
              <w:t xml:space="preserve">XXX </w:t>
            </w:r>
            <w:r>
              <w:rPr>
                <w:b/>
                <w:sz w:val="22"/>
                <w:szCs w:val="22"/>
              </w:rPr>
              <w:t>/</w:t>
            </w:r>
            <w:r>
              <w:rPr>
                <w:b/>
                <w:color w:val="0F6FC6"/>
                <w:sz w:val="22"/>
                <w:szCs w:val="22"/>
              </w:rPr>
              <w:t>20XX</w:t>
            </w:r>
            <w:r>
              <w:rPr>
                <w:b/>
                <w:sz w:val="22"/>
                <w:szCs w:val="22"/>
              </w:rPr>
              <w:t>.</w:t>
            </w:r>
          </w:p>
          <w:p w:rsidR="004E4AF8" w:rsidRDefault="004E4AF8">
            <w:pPr>
              <w:rPr>
                <w:sz w:val="22"/>
                <w:szCs w:val="22"/>
              </w:rPr>
            </w:pPr>
          </w:p>
        </w:tc>
      </w:tr>
    </w:tbl>
    <w:p w:rsidR="004E4AF8" w:rsidRDefault="004E4AF8">
      <w:pPr>
        <w:spacing w:after="0" w:line="240" w:lineRule="auto"/>
        <w:jc w:val="left"/>
      </w:pPr>
    </w:p>
    <w:tbl>
      <w:tblPr>
        <w:tblStyle w:val="afffffffffffffffffff4"/>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2940"/>
        <w:gridCol w:w="6688"/>
      </w:tblGrid>
      <w:tr w:rsidR="004E4AF8">
        <w:tc>
          <w:tcPr>
            <w:tcW w:w="9628" w:type="dxa"/>
            <w:gridSpan w:val="2"/>
            <w:tcBorders>
              <w:bottom w:val="single" w:sz="4" w:space="0" w:color="000000"/>
            </w:tcBorders>
            <w:shd w:val="clear" w:color="auto" w:fill="BFBFBF"/>
          </w:tcPr>
          <w:p w:rsidR="004E4AF8" w:rsidRDefault="00D62302">
            <w:pPr>
              <w:spacing w:line="259" w:lineRule="auto"/>
              <w:rPr>
                <w:b/>
              </w:rPr>
            </w:pPr>
            <w:r>
              <w:rPr>
                <w:b/>
              </w:rPr>
              <w:t>2 – CRITÉRIO DE ACEITAÇÃO – MÉTRICA E PERIODICIDADE</w:t>
            </w:r>
          </w:p>
        </w:tc>
      </w:tr>
      <w:tr w:rsidR="004E4AF8">
        <w:trPr>
          <w:trHeight w:val="375"/>
        </w:trPr>
        <w:tc>
          <w:tcPr>
            <w:tcW w:w="9628" w:type="dxa"/>
            <w:gridSpan w:val="2"/>
            <w:shd w:val="clear" w:color="auto" w:fill="D9D9D9"/>
            <w:vAlign w:val="center"/>
          </w:tcPr>
          <w:p w:rsidR="004E4AF8" w:rsidRDefault="00D62302">
            <w:pPr>
              <w:jc w:val="center"/>
              <w:rPr>
                <w:b/>
                <w:sz w:val="22"/>
                <w:szCs w:val="22"/>
              </w:rPr>
            </w:pPr>
            <w:r>
              <w:rPr>
                <w:b/>
                <w:sz w:val="22"/>
                <w:szCs w:val="22"/>
              </w:rPr>
              <w:t>Métrica 1</w:t>
            </w:r>
          </w:p>
        </w:tc>
      </w:tr>
      <w:tr w:rsidR="004E4AF8">
        <w:trPr>
          <w:trHeight w:val="375"/>
        </w:trPr>
        <w:tc>
          <w:tcPr>
            <w:tcW w:w="2940" w:type="dxa"/>
            <w:shd w:val="clear" w:color="auto" w:fill="F2F2F2"/>
            <w:vAlign w:val="center"/>
          </w:tcPr>
          <w:p w:rsidR="004E4AF8" w:rsidRDefault="00D62302">
            <w:pPr>
              <w:jc w:val="left"/>
              <w:rPr>
                <w:b/>
                <w:color w:val="0F6FC6"/>
                <w:sz w:val="22"/>
                <w:szCs w:val="22"/>
              </w:rPr>
            </w:pPr>
            <w:r>
              <w:rPr>
                <w:b/>
                <w:color w:val="0F6FC6"/>
                <w:sz w:val="22"/>
                <w:szCs w:val="22"/>
              </w:rPr>
              <w:t>Indicador de qualidade</w:t>
            </w:r>
          </w:p>
        </w:tc>
        <w:tc>
          <w:tcPr>
            <w:tcW w:w="6688" w:type="dxa"/>
            <w:shd w:val="clear" w:color="auto" w:fill="auto"/>
            <w:vAlign w:val="center"/>
          </w:tcPr>
          <w:p w:rsidR="004E4AF8" w:rsidRDefault="004E4AF8">
            <w:pPr>
              <w:jc w:val="left"/>
              <w:rPr>
                <w:sz w:val="22"/>
                <w:szCs w:val="22"/>
              </w:rPr>
            </w:pPr>
          </w:p>
        </w:tc>
      </w:tr>
      <w:tr w:rsidR="004E4AF8">
        <w:trPr>
          <w:trHeight w:val="375"/>
        </w:trPr>
        <w:tc>
          <w:tcPr>
            <w:tcW w:w="2940" w:type="dxa"/>
            <w:shd w:val="clear" w:color="auto" w:fill="F2F2F2"/>
            <w:vAlign w:val="center"/>
          </w:tcPr>
          <w:p w:rsidR="004E4AF8" w:rsidRDefault="00D62302">
            <w:pPr>
              <w:jc w:val="left"/>
              <w:rPr>
                <w:b/>
                <w:color w:val="0F6FC6"/>
                <w:sz w:val="22"/>
                <w:szCs w:val="22"/>
              </w:rPr>
            </w:pPr>
            <w:r>
              <w:rPr>
                <w:b/>
                <w:color w:val="0F6FC6"/>
                <w:sz w:val="22"/>
                <w:szCs w:val="22"/>
              </w:rPr>
              <w:t>Mínimo aceitável</w:t>
            </w:r>
          </w:p>
        </w:tc>
        <w:tc>
          <w:tcPr>
            <w:tcW w:w="6688" w:type="dxa"/>
            <w:shd w:val="clear" w:color="auto" w:fill="auto"/>
            <w:vAlign w:val="center"/>
          </w:tcPr>
          <w:p w:rsidR="004E4AF8" w:rsidRDefault="004E4AF8">
            <w:pPr>
              <w:jc w:val="left"/>
              <w:rPr>
                <w:sz w:val="22"/>
                <w:szCs w:val="22"/>
              </w:rPr>
            </w:pPr>
          </w:p>
        </w:tc>
      </w:tr>
      <w:tr w:rsidR="004E4AF8">
        <w:trPr>
          <w:trHeight w:val="375"/>
        </w:trPr>
        <w:tc>
          <w:tcPr>
            <w:tcW w:w="2940" w:type="dxa"/>
            <w:shd w:val="clear" w:color="auto" w:fill="F2F2F2"/>
            <w:vAlign w:val="center"/>
          </w:tcPr>
          <w:p w:rsidR="004E4AF8" w:rsidRDefault="00D62302">
            <w:pPr>
              <w:jc w:val="left"/>
              <w:rPr>
                <w:b/>
                <w:color w:val="0F6FC6"/>
                <w:sz w:val="22"/>
                <w:szCs w:val="22"/>
              </w:rPr>
            </w:pPr>
            <w:r>
              <w:rPr>
                <w:b/>
                <w:color w:val="0F6FC6"/>
                <w:sz w:val="22"/>
                <w:szCs w:val="22"/>
              </w:rPr>
              <w:t>Ferramentas de medição</w:t>
            </w:r>
          </w:p>
        </w:tc>
        <w:tc>
          <w:tcPr>
            <w:tcW w:w="6688" w:type="dxa"/>
            <w:shd w:val="clear" w:color="auto" w:fill="auto"/>
            <w:vAlign w:val="center"/>
          </w:tcPr>
          <w:p w:rsidR="004E4AF8" w:rsidRDefault="004E4AF8">
            <w:pPr>
              <w:jc w:val="left"/>
              <w:rPr>
                <w:sz w:val="22"/>
                <w:szCs w:val="22"/>
              </w:rPr>
            </w:pPr>
          </w:p>
        </w:tc>
      </w:tr>
      <w:tr w:rsidR="004E4AF8">
        <w:trPr>
          <w:trHeight w:val="375"/>
        </w:trPr>
        <w:tc>
          <w:tcPr>
            <w:tcW w:w="2940" w:type="dxa"/>
            <w:shd w:val="clear" w:color="auto" w:fill="F2F2F2"/>
            <w:vAlign w:val="center"/>
          </w:tcPr>
          <w:p w:rsidR="004E4AF8" w:rsidRDefault="00D62302">
            <w:pPr>
              <w:jc w:val="left"/>
              <w:rPr>
                <w:b/>
                <w:color w:val="0F6FC6"/>
                <w:sz w:val="22"/>
                <w:szCs w:val="22"/>
              </w:rPr>
            </w:pPr>
            <w:r>
              <w:rPr>
                <w:b/>
                <w:color w:val="0F6FC6"/>
                <w:sz w:val="22"/>
                <w:szCs w:val="22"/>
              </w:rPr>
              <w:t>Periodicidade de aferição</w:t>
            </w:r>
          </w:p>
        </w:tc>
        <w:tc>
          <w:tcPr>
            <w:tcW w:w="6688" w:type="dxa"/>
            <w:shd w:val="clear" w:color="auto" w:fill="auto"/>
            <w:vAlign w:val="center"/>
          </w:tcPr>
          <w:p w:rsidR="004E4AF8" w:rsidRDefault="004E4AF8">
            <w:pPr>
              <w:jc w:val="left"/>
              <w:rPr>
                <w:sz w:val="22"/>
                <w:szCs w:val="22"/>
              </w:rPr>
            </w:pPr>
          </w:p>
        </w:tc>
      </w:tr>
      <w:tr w:rsidR="004E4AF8">
        <w:trPr>
          <w:trHeight w:val="375"/>
        </w:trPr>
        <w:tc>
          <w:tcPr>
            <w:tcW w:w="9628" w:type="dxa"/>
            <w:gridSpan w:val="2"/>
            <w:shd w:val="clear" w:color="auto" w:fill="D9D9D9"/>
            <w:vAlign w:val="center"/>
          </w:tcPr>
          <w:p w:rsidR="004E4AF8" w:rsidRDefault="00D62302">
            <w:pPr>
              <w:jc w:val="center"/>
              <w:rPr>
                <w:b/>
                <w:sz w:val="22"/>
                <w:szCs w:val="22"/>
              </w:rPr>
            </w:pPr>
            <w:r>
              <w:rPr>
                <w:b/>
                <w:sz w:val="22"/>
                <w:szCs w:val="22"/>
              </w:rPr>
              <w:t>Métrica N</w:t>
            </w:r>
          </w:p>
        </w:tc>
      </w:tr>
      <w:tr w:rsidR="004E4AF8">
        <w:trPr>
          <w:trHeight w:val="375"/>
        </w:trPr>
        <w:tc>
          <w:tcPr>
            <w:tcW w:w="2940" w:type="dxa"/>
            <w:shd w:val="clear" w:color="auto" w:fill="F2F2F2"/>
            <w:vAlign w:val="center"/>
          </w:tcPr>
          <w:p w:rsidR="004E4AF8" w:rsidRDefault="00D62302">
            <w:pPr>
              <w:jc w:val="left"/>
              <w:rPr>
                <w:b/>
                <w:color w:val="0F6FC6"/>
                <w:sz w:val="22"/>
                <w:szCs w:val="22"/>
              </w:rPr>
            </w:pPr>
            <w:r>
              <w:rPr>
                <w:b/>
                <w:color w:val="0F6FC6"/>
                <w:sz w:val="22"/>
                <w:szCs w:val="22"/>
              </w:rPr>
              <w:t>Indicador de qualidade</w:t>
            </w:r>
          </w:p>
        </w:tc>
        <w:tc>
          <w:tcPr>
            <w:tcW w:w="6688" w:type="dxa"/>
            <w:shd w:val="clear" w:color="auto" w:fill="auto"/>
            <w:vAlign w:val="center"/>
          </w:tcPr>
          <w:p w:rsidR="004E4AF8" w:rsidRDefault="004E4AF8">
            <w:pPr>
              <w:jc w:val="left"/>
              <w:rPr>
                <w:sz w:val="22"/>
                <w:szCs w:val="22"/>
              </w:rPr>
            </w:pPr>
          </w:p>
        </w:tc>
      </w:tr>
      <w:tr w:rsidR="004E4AF8">
        <w:trPr>
          <w:trHeight w:val="375"/>
        </w:trPr>
        <w:tc>
          <w:tcPr>
            <w:tcW w:w="2940" w:type="dxa"/>
            <w:shd w:val="clear" w:color="auto" w:fill="F2F2F2"/>
            <w:vAlign w:val="center"/>
          </w:tcPr>
          <w:p w:rsidR="004E4AF8" w:rsidRDefault="00D62302">
            <w:pPr>
              <w:jc w:val="left"/>
              <w:rPr>
                <w:b/>
                <w:color w:val="0F6FC6"/>
                <w:sz w:val="22"/>
                <w:szCs w:val="22"/>
              </w:rPr>
            </w:pPr>
            <w:r>
              <w:rPr>
                <w:b/>
                <w:color w:val="0F6FC6"/>
                <w:sz w:val="22"/>
                <w:szCs w:val="22"/>
              </w:rPr>
              <w:t>Mínimo aceitável</w:t>
            </w:r>
          </w:p>
        </w:tc>
        <w:tc>
          <w:tcPr>
            <w:tcW w:w="6688" w:type="dxa"/>
            <w:shd w:val="clear" w:color="auto" w:fill="auto"/>
            <w:vAlign w:val="center"/>
          </w:tcPr>
          <w:p w:rsidR="004E4AF8" w:rsidRDefault="004E4AF8">
            <w:pPr>
              <w:jc w:val="left"/>
              <w:rPr>
                <w:sz w:val="22"/>
                <w:szCs w:val="22"/>
              </w:rPr>
            </w:pPr>
          </w:p>
        </w:tc>
      </w:tr>
      <w:tr w:rsidR="004E4AF8">
        <w:trPr>
          <w:trHeight w:val="375"/>
        </w:trPr>
        <w:tc>
          <w:tcPr>
            <w:tcW w:w="2940" w:type="dxa"/>
            <w:shd w:val="clear" w:color="auto" w:fill="F2F2F2"/>
            <w:vAlign w:val="center"/>
          </w:tcPr>
          <w:p w:rsidR="004E4AF8" w:rsidRDefault="00D62302">
            <w:pPr>
              <w:jc w:val="left"/>
              <w:rPr>
                <w:b/>
                <w:color w:val="0F6FC6"/>
                <w:sz w:val="22"/>
                <w:szCs w:val="22"/>
              </w:rPr>
            </w:pPr>
            <w:r>
              <w:rPr>
                <w:b/>
                <w:color w:val="0F6FC6"/>
                <w:sz w:val="22"/>
                <w:szCs w:val="22"/>
              </w:rPr>
              <w:t>Ferramentas de medição</w:t>
            </w:r>
          </w:p>
        </w:tc>
        <w:tc>
          <w:tcPr>
            <w:tcW w:w="6688" w:type="dxa"/>
            <w:shd w:val="clear" w:color="auto" w:fill="auto"/>
            <w:vAlign w:val="center"/>
          </w:tcPr>
          <w:p w:rsidR="004E4AF8" w:rsidRDefault="004E4AF8">
            <w:pPr>
              <w:jc w:val="left"/>
              <w:rPr>
                <w:sz w:val="22"/>
                <w:szCs w:val="22"/>
              </w:rPr>
            </w:pPr>
          </w:p>
        </w:tc>
      </w:tr>
      <w:tr w:rsidR="004E4AF8">
        <w:trPr>
          <w:trHeight w:val="375"/>
        </w:trPr>
        <w:tc>
          <w:tcPr>
            <w:tcW w:w="2940" w:type="dxa"/>
            <w:shd w:val="clear" w:color="auto" w:fill="F2F2F2"/>
            <w:vAlign w:val="center"/>
          </w:tcPr>
          <w:p w:rsidR="004E4AF8" w:rsidRDefault="00D62302">
            <w:pPr>
              <w:jc w:val="left"/>
              <w:rPr>
                <w:b/>
                <w:color w:val="0F6FC6"/>
                <w:sz w:val="22"/>
                <w:szCs w:val="22"/>
              </w:rPr>
            </w:pPr>
            <w:r>
              <w:rPr>
                <w:b/>
                <w:color w:val="0F6FC6"/>
                <w:sz w:val="22"/>
                <w:szCs w:val="22"/>
              </w:rPr>
              <w:t>Periodicidade de aferição</w:t>
            </w:r>
          </w:p>
        </w:tc>
        <w:tc>
          <w:tcPr>
            <w:tcW w:w="6688" w:type="dxa"/>
            <w:shd w:val="clear" w:color="auto" w:fill="auto"/>
            <w:vAlign w:val="center"/>
          </w:tcPr>
          <w:p w:rsidR="004E4AF8" w:rsidRDefault="004E4AF8">
            <w:pPr>
              <w:jc w:val="left"/>
              <w:rPr>
                <w:sz w:val="22"/>
                <w:szCs w:val="22"/>
              </w:rPr>
            </w:pPr>
          </w:p>
        </w:tc>
      </w:tr>
    </w:tbl>
    <w:p w:rsidR="004E4AF8" w:rsidRDefault="004E4AF8">
      <w:pPr>
        <w:spacing w:after="0" w:line="240" w:lineRule="auto"/>
        <w:jc w:val="left"/>
      </w:pPr>
    </w:p>
    <w:tbl>
      <w:tblPr>
        <w:tblStyle w:val="afffffffffffffffffff5"/>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3681"/>
        <w:gridCol w:w="5947"/>
      </w:tblGrid>
      <w:tr w:rsidR="004E4AF8">
        <w:tc>
          <w:tcPr>
            <w:tcW w:w="9628" w:type="dxa"/>
            <w:gridSpan w:val="2"/>
            <w:tcBorders>
              <w:bottom w:val="single" w:sz="4" w:space="0" w:color="000000"/>
            </w:tcBorders>
            <w:shd w:val="clear" w:color="auto" w:fill="BFBFBF"/>
          </w:tcPr>
          <w:p w:rsidR="004E4AF8" w:rsidRDefault="00D62302">
            <w:pPr>
              <w:spacing w:line="259" w:lineRule="auto"/>
              <w:rPr>
                <w:b/>
              </w:rPr>
            </w:pPr>
            <w:r>
              <w:rPr>
                <w:b/>
              </w:rPr>
              <w:t>3 – METODOLOGIA/FORMAS DE AVALIAÇÃO DA QUALIDADE E ADEQUAÇÃO DA</w:t>
            </w:r>
            <w:r>
              <w:rPr>
                <w:b/>
              </w:rPr>
              <w:br/>
              <w:t>SOLUÇÃO ÀS ESPECIFICAÇÕES FUNCIONAIS E TECNOLÓGICAS</w:t>
            </w:r>
          </w:p>
        </w:tc>
      </w:tr>
      <w:tr w:rsidR="004E4AF8">
        <w:trPr>
          <w:trHeight w:val="375"/>
        </w:trPr>
        <w:tc>
          <w:tcPr>
            <w:tcW w:w="3681" w:type="dxa"/>
            <w:shd w:val="clear" w:color="auto" w:fill="F2F2F2"/>
            <w:vAlign w:val="center"/>
          </w:tcPr>
          <w:p w:rsidR="004E4AF8" w:rsidRDefault="00D62302">
            <w:pPr>
              <w:jc w:val="left"/>
              <w:rPr>
                <w:color w:val="0F6FC6"/>
                <w:sz w:val="22"/>
                <w:szCs w:val="22"/>
              </w:rPr>
            </w:pPr>
            <w:r>
              <w:rPr>
                <w:color w:val="0F6FC6"/>
                <w:sz w:val="22"/>
                <w:szCs w:val="22"/>
              </w:rPr>
              <w:t>Mecanismos de inspeção e avaliação da solução</w:t>
            </w:r>
          </w:p>
        </w:tc>
        <w:tc>
          <w:tcPr>
            <w:tcW w:w="5947" w:type="dxa"/>
            <w:shd w:val="clear" w:color="auto" w:fill="auto"/>
          </w:tcPr>
          <w:p w:rsidR="004E4AF8" w:rsidRDefault="004E4AF8">
            <w:pPr>
              <w:rPr>
                <w:sz w:val="22"/>
                <w:szCs w:val="22"/>
              </w:rPr>
            </w:pPr>
          </w:p>
        </w:tc>
      </w:tr>
      <w:tr w:rsidR="004E4AF8">
        <w:trPr>
          <w:trHeight w:val="375"/>
        </w:trPr>
        <w:tc>
          <w:tcPr>
            <w:tcW w:w="3681" w:type="dxa"/>
            <w:shd w:val="clear" w:color="auto" w:fill="F2F2F2"/>
            <w:vAlign w:val="center"/>
          </w:tcPr>
          <w:p w:rsidR="004E4AF8" w:rsidRDefault="00D62302">
            <w:pPr>
              <w:jc w:val="left"/>
              <w:rPr>
                <w:color w:val="0F6FC6"/>
                <w:sz w:val="22"/>
                <w:szCs w:val="22"/>
              </w:rPr>
            </w:pPr>
            <w:r>
              <w:rPr>
                <w:color w:val="0F6FC6"/>
                <w:sz w:val="22"/>
                <w:szCs w:val="22"/>
              </w:rPr>
              <w:t>Ferramentas de avaliação</w:t>
            </w:r>
          </w:p>
        </w:tc>
        <w:tc>
          <w:tcPr>
            <w:tcW w:w="5947" w:type="dxa"/>
            <w:shd w:val="clear" w:color="auto" w:fill="auto"/>
          </w:tcPr>
          <w:p w:rsidR="004E4AF8" w:rsidRDefault="004E4AF8">
            <w:pPr>
              <w:rPr>
                <w:sz w:val="22"/>
                <w:szCs w:val="22"/>
              </w:rPr>
            </w:pPr>
          </w:p>
        </w:tc>
      </w:tr>
      <w:tr w:rsidR="004E4AF8">
        <w:trPr>
          <w:trHeight w:val="375"/>
        </w:trPr>
        <w:tc>
          <w:tcPr>
            <w:tcW w:w="3681" w:type="dxa"/>
            <w:shd w:val="clear" w:color="auto" w:fill="F2F2F2"/>
            <w:vAlign w:val="center"/>
          </w:tcPr>
          <w:p w:rsidR="004E4AF8" w:rsidRDefault="00D62302">
            <w:pPr>
              <w:jc w:val="left"/>
              <w:rPr>
                <w:color w:val="0F6FC6"/>
                <w:sz w:val="22"/>
                <w:szCs w:val="22"/>
              </w:rPr>
            </w:pPr>
            <w:r>
              <w:rPr>
                <w:color w:val="0F6FC6"/>
                <w:sz w:val="22"/>
                <w:szCs w:val="22"/>
              </w:rPr>
              <w:t>Forma de obtenção das informações</w:t>
            </w:r>
          </w:p>
        </w:tc>
        <w:tc>
          <w:tcPr>
            <w:tcW w:w="5947" w:type="dxa"/>
            <w:shd w:val="clear" w:color="auto" w:fill="auto"/>
          </w:tcPr>
          <w:p w:rsidR="004E4AF8" w:rsidRDefault="004E4AF8">
            <w:pPr>
              <w:rPr>
                <w:sz w:val="22"/>
                <w:szCs w:val="22"/>
              </w:rPr>
            </w:pPr>
          </w:p>
        </w:tc>
      </w:tr>
      <w:tr w:rsidR="004E4AF8">
        <w:trPr>
          <w:trHeight w:val="375"/>
        </w:trPr>
        <w:tc>
          <w:tcPr>
            <w:tcW w:w="3681" w:type="dxa"/>
            <w:shd w:val="clear" w:color="auto" w:fill="F2F2F2"/>
            <w:vAlign w:val="center"/>
          </w:tcPr>
          <w:p w:rsidR="004E4AF8" w:rsidRDefault="00D62302">
            <w:pPr>
              <w:jc w:val="left"/>
              <w:rPr>
                <w:color w:val="0F6FC6"/>
                <w:sz w:val="22"/>
                <w:szCs w:val="22"/>
              </w:rPr>
            </w:pPr>
            <w:r>
              <w:rPr>
                <w:color w:val="0F6FC6"/>
                <w:sz w:val="22"/>
                <w:szCs w:val="22"/>
              </w:rPr>
              <w:t>Listas de verificação  e de roteiros de testes aplicáveis</w:t>
            </w:r>
          </w:p>
        </w:tc>
        <w:tc>
          <w:tcPr>
            <w:tcW w:w="5947" w:type="dxa"/>
            <w:shd w:val="clear" w:color="auto" w:fill="auto"/>
          </w:tcPr>
          <w:p w:rsidR="004E4AF8" w:rsidRDefault="004E4AF8">
            <w:pPr>
              <w:rPr>
                <w:sz w:val="22"/>
                <w:szCs w:val="22"/>
              </w:rPr>
            </w:pPr>
          </w:p>
        </w:tc>
      </w:tr>
      <w:tr w:rsidR="004E4AF8">
        <w:trPr>
          <w:trHeight w:val="375"/>
        </w:trPr>
        <w:tc>
          <w:tcPr>
            <w:tcW w:w="3681" w:type="dxa"/>
            <w:shd w:val="clear" w:color="auto" w:fill="F2F2F2"/>
            <w:vAlign w:val="center"/>
          </w:tcPr>
          <w:p w:rsidR="004E4AF8" w:rsidRDefault="00D62302">
            <w:pPr>
              <w:jc w:val="left"/>
              <w:rPr>
                <w:color w:val="0F6FC6"/>
                <w:sz w:val="22"/>
                <w:szCs w:val="22"/>
              </w:rPr>
            </w:pPr>
            <w:r>
              <w:rPr>
                <w:color w:val="0F6FC6"/>
                <w:sz w:val="22"/>
                <w:szCs w:val="22"/>
              </w:rPr>
              <w:t>Inspeções e diligências aplicáveis</w:t>
            </w:r>
          </w:p>
        </w:tc>
        <w:tc>
          <w:tcPr>
            <w:tcW w:w="5947" w:type="dxa"/>
            <w:shd w:val="clear" w:color="auto" w:fill="auto"/>
          </w:tcPr>
          <w:p w:rsidR="004E4AF8" w:rsidRDefault="004E4AF8">
            <w:pPr>
              <w:rPr>
                <w:sz w:val="22"/>
                <w:szCs w:val="22"/>
              </w:rPr>
            </w:pPr>
          </w:p>
        </w:tc>
      </w:tr>
    </w:tbl>
    <w:p w:rsidR="004E4AF8" w:rsidRDefault="004E4AF8">
      <w:pPr>
        <w:spacing w:after="0" w:line="240" w:lineRule="auto"/>
        <w:jc w:val="left"/>
      </w:pPr>
    </w:p>
    <w:tbl>
      <w:tblPr>
        <w:tblStyle w:val="afffffffffffffffffff6"/>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1413"/>
        <w:gridCol w:w="8215"/>
      </w:tblGrid>
      <w:tr w:rsidR="004E4AF8">
        <w:tc>
          <w:tcPr>
            <w:tcW w:w="9628" w:type="dxa"/>
            <w:gridSpan w:val="2"/>
            <w:tcBorders>
              <w:bottom w:val="single" w:sz="4" w:space="0" w:color="000000"/>
            </w:tcBorders>
            <w:shd w:val="clear" w:color="auto" w:fill="BFBFBF"/>
          </w:tcPr>
          <w:p w:rsidR="004E4AF8" w:rsidRDefault="00D62302">
            <w:pPr>
              <w:spacing w:line="259" w:lineRule="auto"/>
              <w:rPr>
                <w:b/>
              </w:rPr>
            </w:pPr>
            <w:r>
              <w:rPr>
                <w:b/>
              </w:rPr>
              <w:t>4 – PROCEDIMENTOS PARA EMISSÃO DE NOTA FISCAL</w:t>
            </w:r>
          </w:p>
        </w:tc>
      </w:tr>
      <w:tr w:rsidR="004E4AF8">
        <w:trPr>
          <w:trHeight w:val="375"/>
        </w:trPr>
        <w:tc>
          <w:tcPr>
            <w:tcW w:w="1413" w:type="dxa"/>
            <w:shd w:val="clear" w:color="auto" w:fill="F2F2F2"/>
            <w:vAlign w:val="center"/>
          </w:tcPr>
          <w:p w:rsidR="004E4AF8" w:rsidRDefault="00D62302">
            <w:pPr>
              <w:jc w:val="center"/>
              <w:rPr>
                <w:color w:val="0F6FC6"/>
                <w:sz w:val="22"/>
                <w:szCs w:val="22"/>
              </w:rPr>
            </w:pPr>
            <w:r>
              <w:rPr>
                <w:color w:val="0F6FC6"/>
                <w:sz w:val="22"/>
                <w:szCs w:val="22"/>
              </w:rPr>
              <w:t>Etapa 1</w:t>
            </w:r>
          </w:p>
        </w:tc>
        <w:tc>
          <w:tcPr>
            <w:tcW w:w="8215" w:type="dxa"/>
            <w:shd w:val="clear" w:color="auto" w:fill="auto"/>
            <w:vAlign w:val="center"/>
          </w:tcPr>
          <w:p w:rsidR="004E4AF8" w:rsidRDefault="004E4AF8">
            <w:pPr>
              <w:jc w:val="center"/>
              <w:rPr>
                <w:sz w:val="22"/>
                <w:szCs w:val="22"/>
              </w:rPr>
            </w:pPr>
          </w:p>
        </w:tc>
      </w:tr>
      <w:tr w:rsidR="004E4AF8">
        <w:trPr>
          <w:trHeight w:val="375"/>
        </w:trPr>
        <w:tc>
          <w:tcPr>
            <w:tcW w:w="1413" w:type="dxa"/>
            <w:shd w:val="clear" w:color="auto" w:fill="F2F2F2"/>
            <w:vAlign w:val="center"/>
          </w:tcPr>
          <w:p w:rsidR="004E4AF8" w:rsidRDefault="00D62302">
            <w:pPr>
              <w:jc w:val="center"/>
              <w:rPr>
                <w:color w:val="0F6FC6"/>
                <w:sz w:val="22"/>
                <w:szCs w:val="22"/>
              </w:rPr>
            </w:pPr>
            <w:r>
              <w:rPr>
                <w:color w:val="0F6FC6"/>
                <w:sz w:val="22"/>
                <w:szCs w:val="22"/>
              </w:rPr>
              <w:t>Etapa 2</w:t>
            </w:r>
          </w:p>
        </w:tc>
        <w:tc>
          <w:tcPr>
            <w:tcW w:w="8215" w:type="dxa"/>
            <w:shd w:val="clear" w:color="auto" w:fill="auto"/>
            <w:vAlign w:val="center"/>
          </w:tcPr>
          <w:p w:rsidR="004E4AF8" w:rsidRDefault="004E4AF8">
            <w:pPr>
              <w:jc w:val="center"/>
              <w:rPr>
                <w:sz w:val="22"/>
                <w:szCs w:val="22"/>
              </w:rPr>
            </w:pPr>
          </w:p>
        </w:tc>
      </w:tr>
      <w:tr w:rsidR="004E4AF8">
        <w:trPr>
          <w:trHeight w:val="375"/>
        </w:trPr>
        <w:tc>
          <w:tcPr>
            <w:tcW w:w="1413" w:type="dxa"/>
            <w:shd w:val="clear" w:color="auto" w:fill="F2F2F2"/>
            <w:vAlign w:val="center"/>
          </w:tcPr>
          <w:p w:rsidR="004E4AF8" w:rsidRDefault="00D62302">
            <w:pPr>
              <w:jc w:val="center"/>
              <w:rPr>
                <w:color w:val="0F6FC6"/>
                <w:sz w:val="22"/>
                <w:szCs w:val="22"/>
              </w:rPr>
            </w:pPr>
            <w:r>
              <w:rPr>
                <w:color w:val="0F6FC6"/>
                <w:sz w:val="22"/>
                <w:szCs w:val="22"/>
              </w:rPr>
              <w:t>Etapa N</w:t>
            </w:r>
          </w:p>
        </w:tc>
        <w:tc>
          <w:tcPr>
            <w:tcW w:w="8215" w:type="dxa"/>
            <w:shd w:val="clear" w:color="auto" w:fill="auto"/>
            <w:vAlign w:val="center"/>
          </w:tcPr>
          <w:p w:rsidR="004E4AF8" w:rsidRDefault="004E4AF8">
            <w:pPr>
              <w:jc w:val="center"/>
              <w:rPr>
                <w:sz w:val="22"/>
                <w:szCs w:val="22"/>
              </w:rPr>
            </w:pPr>
          </w:p>
        </w:tc>
      </w:tr>
    </w:tbl>
    <w:p w:rsidR="004E4AF8" w:rsidRDefault="004E4AF8">
      <w:pPr>
        <w:spacing w:after="0" w:line="240" w:lineRule="auto"/>
        <w:jc w:val="left"/>
      </w:pPr>
    </w:p>
    <w:p w:rsidR="004E4AF8" w:rsidRDefault="00D62302">
      <w:pPr>
        <w:spacing w:line="259" w:lineRule="auto"/>
        <w:jc w:val="left"/>
      </w:pPr>
      <w:r>
        <w:br w:type="page"/>
      </w:r>
    </w:p>
    <w:tbl>
      <w:tblPr>
        <w:tblStyle w:val="afffffffffffffffffff7"/>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tcBorders>
              <w:bottom w:val="single" w:sz="4" w:space="0" w:color="000000"/>
            </w:tcBorders>
            <w:shd w:val="clear" w:color="auto" w:fill="BFBFBF"/>
          </w:tcPr>
          <w:p w:rsidR="004E4AF8" w:rsidRDefault="00D62302">
            <w:pPr>
              <w:spacing w:line="259" w:lineRule="auto"/>
              <w:rPr>
                <w:b/>
              </w:rPr>
            </w:pPr>
            <w:r>
              <w:rPr>
                <w:b/>
              </w:rPr>
              <w:lastRenderedPageBreak/>
              <w:t xml:space="preserve">5 – </w:t>
            </w:r>
            <w:r>
              <w:rPr>
                <w:b/>
                <w:color w:val="C00000"/>
              </w:rPr>
              <w:t>MODELO</w:t>
            </w:r>
            <w:r>
              <w:rPr>
                <w:b/>
              </w:rPr>
              <w:t xml:space="preserve"> TERMO DE COMPROMISSO DE SIGILO E NORMAS DE SEGURANÇA</w:t>
            </w:r>
          </w:p>
        </w:tc>
      </w:tr>
      <w:tr w:rsidR="004E4AF8">
        <w:trPr>
          <w:trHeight w:val="375"/>
        </w:trPr>
        <w:tc>
          <w:tcPr>
            <w:tcW w:w="9628" w:type="dxa"/>
            <w:shd w:val="clear" w:color="auto" w:fill="auto"/>
          </w:tcPr>
          <w:p w:rsidR="004E4AF8" w:rsidRDefault="00D62302">
            <w:pPr>
              <w:rPr>
                <w:sz w:val="22"/>
                <w:szCs w:val="22"/>
              </w:rPr>
            </w:pPr>
            <w:r>
              <w:rPr>
                <w:sz w:val="22"/>
                <w:szCs w:val="22"/>
              </w:rPr>
              <w:t xml:space="preserve"> </w:t>
            </w:r>
          </w:p>
          <w:p w:rsidR="004E4AF8" w:rsidRDefault="00D62302">
            <w:pPr>
              <w:rPr>
                <w:sz w:val="22"/>
                <w:szCs w:val="22"/>
              </w:rPr>
            </w:pPr>
            <w:r>
              <w:rPr>
                <w:sz w:val="22"/>
                <w:szCs w:val="22"/>
              </w:rPr>
              <w:t>O &lt;</w:t>
            </w:r>
            <w:r>
              <w:rPr>
                <w:color w:val="0F6FC6"/>
                <w:sz w:val="22"/>
                <w:szCs w:val="22"/>
              </w:rPr>
              <w:t>ÓRGÃO</w:t>
            </w:r>
            <w:r>
              <w:rPr>
                <w:sz w:val="22"/>
                <w:szCs w:val="22"/>
              </w:rPr>
              <w:t xml:space="preserve">&gt;, sediado na </w:t>
            </w:r>
            <w:r>
              <w:rPr>
                <w:color w:val="0F6FC6"/>
                <w:sz w:val="22"/>
                <w:szCs w:val="22"/>
              </w:rPr>
              <w:t>XXXXXX</w:t>
            </w:r>
            <w:r>
              <w:rPr>
                <w:sz w:val="22"/>
                <w:szCs w:val="22"/>
              </w:rPr>
              <w:t xml:space="preserve">, CEP: </w:t>
            </w:r>
            <w:r>
              <w:rPr>
                <w:color w:val="0F6FC6"/>
                <w:sz w:val="22"/>
                <w:szCs w:val="22"/>
              </w:rPr>
              <w:t>XXXXXXX</w:t>
            </w:r>
            <w:r>
              <w:rPr>
                <w:sz w:val="22"/>
                <w:szCs w:val="22"/>
              </w:rPr>
              <w:t xml:space="preserve">, CNPJ n.° </w:t>
            </w:r>
            <w:r>
              <w:rPr>
                <w:color w:val="0F6FC6"/>
                <w:sz w:val="22"/>
                <w:szCs w:val="22"/>
              </w:rPr>
              <w:t>XXXX</w:t>
            </w:r>
            <w:r>
              <w:rPr>
                <w:sz w:val="22"/>
                <w:szCs w:val="22"/>
              </w:rPr>
              <w:t>/</w:t>
            </w:r>
            <w:r>
              <w:rPr>
                <w:color w:val="0F6FC6"/>
                <w:sz w:val="22"/>
                <w:szCs w:val="22"/>
              </w:rPr>
              <w:t>XXXX</w:t>
            </w:r>
            <w:r>
              <w:rPr>
                <w:color w:val="2191C9"/>
                <w:sz w:val="22"/>
                <w:szCs w:val="22"/>
              </w:rPr>
              <w:t xml:space="preserve">-XX </w:t>
            </w:r>
            <w:r>
              <w:rPr>
                <w:sz w:val="22"/>
                <w:szCs w:val="22"/>
              </w:rPr>
              <w:t>doravante denominado CONTRATANTE, e, de outro lado, a &lt;</w:t>
            </w:r>
            <w:r>
              <w:rPr>
                <w:color w:val="0F6FC6"/>
                <w:sz w:val="22"/>
                <w:szCs w:val="22"/>
              </w:rPr>
              <w:t>NOME DA EMPRESA</w:t>
            </w:r>
            <w:r>
              <w:rPr>
                <w:sz w:val="22"/>
                <w:szCs w:val="22"/>
              </w:rPr>
              <w:t>&gt;, sediada em &lt;</w:t>
            </w:r>
            <w:r>
              <w:rPr>
                <w:color w:val="0F6FC6"/>
                <w:sz w:val="22"/>
                <w:szCs w:val="22"/>
              </w:rPr>
              <w:t>ENDEREÇO</w:t>
            </w:r>
            <w:r>
              <w:rPr>
                <w:sz w:val="22"/>
                <w:szCs w:val="22"/>
              </w:rPr>
              <w:t>&gt;, CNPJ n° &lt;</w:t>
            </w:r>
            <w:r>
              <w:rPr>
                <w:color w:val="0F6FC6"/>
                <w:sz w:val="22"/>
                <w:szCs w:val="22"/>
              </w:rPr>
              <w:t>CNPJ</w:t>
            </w:r>
            <w:r>
              <w:rPr>
                <w:sz w:val="22"/>
                <w:szCs w:val="22"/>
              </w:rPr>
              <w:t>&gt;, doravante denominada CONTRATADA;</w:t>
            </w:r>
          </w:p>
          <w:p w:rsidR="004E4AF8" w:rsidRDefault="004E4AF8">
            <w:pPr>
              <w:rPr>
                <w:sz w:val="22"/>
                <w:szCs w:val="22"/>
              </w:rPr>
            </w:pPr>
          </w:p>
          <w:p w:rsidR="004E4AF8" w:rsidRDefault="00D62302">
            <w:pPr>
              <w:rPr>
                <w:sz w:val="22"/>
                <w:szCs w:val="22"/>
              </w:rPr>
            </w:pPr>
            <w:r>
              <w:rPr>
                <w:sz w:val="22"/>
                <w:szCs w:val="22"/>
              </w:rPr>
              <w:t xml:space="preserve">CONSIDERANDO que, em razão do CONTRATO N. º </w:t>
            </w:r>
            <w:r>
              <w:rPr>
                <w:color w:val="0F6FC6"/>
                <w:sz w:val="22"/>
                <w:szCs w:val="22"/>
              </w:rPr>
              <w:t>XX</w:t>
            </w:r>
            <w:r>
              <w:rPr>
                <w:sz w:val="22"/>
                <w:szCs w:val="22"/>
              </w:rPr>
              <w:t>/</w:t>
            </w:r>
            <w:r>
              <w:rPr>
                <w:color w:val="0F6FC6"/>
                <w:sz w:val="22"/>
                <w:szCs w:val="22"/>
              </w:rPr>
              <w:t xml:space="preserve">20XX </w:t>
            </w:r>
            <w:r>
              <w:rPr>
                <w:sz w:val="22"/>
                <w:szCs w:val="22"/>
              </w:rPr>
              <w:t>doravante denominado CONTRATO PRINCIPAL, a CONTRATADA poderá ter acesso a informações sigilosas do CONTRATANTE;</w:t>
            </w:r>
          </w:p>
          <w:p w:rsidR="004E4AF8" w:rsidRDefault="004E4AF8">
            <w:pPr>
              <w:rPr>
                <w:sz w:val="22"/>
                <w:szCs w:val="22"/>
              </w:rPr>
            </w:pPr>
          </w:p>
          <w:p w:rsidR="004E4AF8" w:rsidRDefault="00D62302">
            <w:pPr>
              <w:rPr>
                <w:sz w:val="22"/>
                <w:szCs w:val="22"/>
              </w:rPr>
            </w:pPr>
            <w:r>
              <w:rPr>
                <w:sz w:val="22"/>
                <w:szCs w:val="22"/>
              </w:rPr>
              <w:t>CONSIDERANDO a necessidade de ajustar as condições de revelação destas informações sigilosas, bem como definir as regras para o seu uso e prote</w:t>
            </w:r>
            <w:r>
              <w:rPr>
                <w:sz w:val="22"/>
                <w:szCs w:val="22"/>
              </w:rPr>
              <w:t>ção;</w:t>
            </w:r>
          </w:p>
          <w:p w:rsidR="004E4AF8" w:rsidRDefault="004E4AF8">
            <w:pPr>
              <w:rPr>
                <w:sz w:val="22"/>
                <w:szCs w:val="22"/>
              </w:rPr>
            </w:pPr>
          </w:p>
          <w:p w:rsidR="004E4AF8" w:rsidRDefault="00D62302">
            <w:pPr>
              <w:rPr>
                <w:sz w:val="22"/>
                <w:szCs w:val="22"/>
              </w:rPr>
            </w:pPr>
            <w:r>
              <w:rPr>
                <w:sz w:val="22"/>
                <w:szCs w:val="22"/>
              </w:rPr>
              <w:t>CONSIDERANDO o disposto na Política de Segurança da Informação do CONTRATANTE;</w:t>
            </w:r>
          </w:p>
          <w:p w:rsidR="004E4AF8" w:rsidRDefault="004E4AF8">
            <w:pPr>
              <w:rPr>
                <w:sz w:val="22"/>
                <w:szCs w:val="22"/>
              </w:rPr>
            </w:pPr>
          </w:p>
          <w:p w:rsidR="004E4AF8" w:rsidRDefault="00D62302">
            <w:pPr>
              <w:rPr>
                <w:sz w:val="22"/>
                <w:szCs w:val="22"/>
              </w:rPr>
            </w:pPr>
            <w:r>
              <w:rPr>
                <w:sz w:val="22"/>
                <w:szCs w:val="22"/>
              </w:rPr>
              <w:t>Resolvem celebrar o presente TERMO DE COMPROMISSO DE MANUTENÇÃO DE SIGILO, doravante TERMO, vinculado ao CONTRATO PRINCIPAL, mediante as seguintes cláusulas e condições:</w:t>
            </w:r>
          </w:p>
          <w:p w:rsidR="004E4AF8" w:rsidRDefault="004E4AF8">
            <w:pPr>
              <w:rPr>
                <w:sz w:val="22"/>
                <w:szCs w:val="22"/>
              </w:rPr>
            </w:pPr>
          </w:p>
          <w:p w:rsidR="004E4AF8" w:rsidRDefault="00D62302">
            <w:pPr>
              <w:rPr>
                <w:b/>
                <w:sz w:val="22"/>
                <w:szCs w:val="22"/>
              </w:rPr>
            </w:pPr>
            <w:r>
              <w:rPr>
                <w:b/>
                <w:sz w:val="22"/>
                <w:szCs w:val="22"/>
              </w:rPr>
              <w:t>Cláusula Primeira – DO OBJETO</w:t>
            </w:r>
          </w:p>
          <w:p w:rsidR="004E4AF8" w:rsidRDefault="00D62302">
            <w:pPr>
              <w:rPr>
                <w:sz w:val="22"/>
                <w:szCs w:val="22"/>
              </w:rPr>
            </w:pPr>
            <w:r>
              <w:rPr>
                <w:sz w:val="22"/>
                <w:szCs w:val="22"/>
              </w:rPr>
              <w:t xml:space="preserve">Constitui objeto deste TERMO o estabelecimento de condições específicas para regulamentar as obrigações a serem observadas pela CONTRATADA, no que diz respeito ao trato de informações sensíveis e sigilosas, disponibilizadas pelo CONTRATANTE, por força dos </w:t>
            </w:r>
            <w:r>
              <w:rPr>
                <w:sz w:val="22"/>
                <w:szCs w:val="22"/>
              </w:rPr>
              <w:t>procedimentos necessários para a execução do objeto do CONTRATO PRINCIPAL celebrado entre as partes e em acordo com o que dispõe o Decreto n. 7.845/2012-Salvaguarda de dados, informações, documentos e materiais sigilosos de interesse da segurança da socied</w:t>
            </w:r>
            <w:r>
              <w:rPr>
                <w:sz w:val="22"/>
                <w:szCs w:val="22"/>
              </w:rPr>
              <w:t>ade e do Estado.</w:t>
            </w:r>
          </w:p>
          <w:p w:rsidR="004E4AF8" w:rsidRDefault="004E4AF8">
            <w:pPr>
              <w:rPr>
                <w:sz w:val="22"/>
                <w:szCs w:val="22"/>
              </w:rPr>
            </w:pPr>
          </w:p>
          <w:p w:rsidR="004E4AF8" w:rsidRDefault="00D62302">
            <w:pPr>
              <w:rPr>
                <w:b/>
                <w:sz w:val="22"/>
                <w:szCs w:val="22"/>
              </w:rPr>
            </w:pPr>
            <w:r>
              <w:rPr>
                <w:b/>
                <w:sz w:val="22"/>
                <w:szCs w:val="22"/>
              </w:rPr>
              <w:t>Cláusula Segunda – DOS CONCEITOS E DEFINIÇÕES</w:t>
            </w:r>
          </w:p>
          <w:p w:rsidR="004E4AF8" w:rsidRDefault="00D62302">
            <w:pPr>
              <w:rPr>
                <w:sz w:val="22"/>
                <w:szCs w:val="22"/>
              </w:rPr>
            </w:pPr>
            <w:r>
              <w:rPr>
                <w:sz w:val="22"/>
                <w:szCs w:val="22"/>
              </w:rPr>
              <w:t>Para os efeitos deste TERMO, são estabelecidos os seguintes conceitos e definições:</w:t>
            </w:r>
          </w:p>
          <w:p w:rsidR="004E4AF8" w:rsidRDefault="00D62302">
            <w:pPr>
              <w:rPr>
                <w:sz w:val="22"/>
                <w:szCs w:val="22"/>
              </w:rPr>
            </w:pPr>
            <w:r>
              <w:rPr>
                <w:b/>
                <w:i/>
                <w:sz w:val="22"/>
                <w:szCs w:val="22"/>
              </w:rPr>
              <w:t>Informação</w:t>
            </w:r>
            <w:r>
              <w:rPr>
                <w:sz w:val="22"/>
                <w:szCs w:val="22"/>
              </w:rPr>
              <w:t>: é o conjunto de dados organizados de acordo com procedimentos executados por meios eletrônicos o</w:t>
            </w:r>
            <w:r>
              <w:rPr>
                <w:sz w:val="22"/>
                <w:szCs w:val="22"/>
              </w:rPr>
              <w:t>u não, que possibilitam a realização de atividades específicas e/ou tomada de decisão;</w:t>
            </w:r>
          </w:p>
          <w:p w:rsidR="004E4AF8" w:rsidRDefault="00D62302">
            <w:pPr>
              <w:rPr>
                <w:sz w:val="22"/>
                <w:szCs w:val="22"/>
              </w:rPr>
            </w:pPr>
            <w:r>
              <w:rPr>
                <w:b/>
                <w:i/>
                <w:sz w:val="22"/>
                <w:szCs w:val="22"/>
              </w:rPr>
              <w:t>Informação Pública ou Ostensiva</w:t>
            </w:r>
            <w:r>
              <w:rPr>
                <w:sz w:val="22"/>
                <w:szCs w:val="22"/>
              </w:rPr>
              <w:t>: são aquelas cujo acesso é irrestrito, obtida por divulgação pública ou por meio de canais autorizados pelo CONTRATANTE;</w:t>
            </w:r>
          </w:p>
          <w:p w:rsidR="004E4AF8" w:rsidRDefault="00D62302">
            <w:pPr>
              <w:rPr>
                <w:sz w:val="22"/>
                <w:szCs w:val="22"/>
              </w:rPr>
            </w:pPr>
            <w:r>
              <w:rPr>
                <w:b/>
                <w:i/>
                <w:sz w:val="22"/>
                <w:szCs w:val="22"/>
              </w:rPr>
              <w:t>Informações Sens</w:t>
            </w:r>
            <w:r>
              <w:rPr>
                <w:b/>
                <w:i/>
                <w:sz w:val="22"/>
                <w:szCs w:val="22"/>
              </w:rPr>
              <w:t>íveis</w:t>
            </w:r>
            <w:r>
              <w:rPr>
                <w:sz w:val="22"/>
                <w:szCs w:val="22"/>
              </w:rPr>
              <w:t>: são todos os conhecimentos estratégicos que, em função de seu potencial no aproveitamento de oportunidades ou desenvolvimento nos ramos econômicos, político, científico, tecnológico, militar e social, possam beneficiar a Sociedade</w:t>
            </w:r>
            <w:r>
              <w:rPr>
                <w:sz w:val="22"/>
                <w:szCs w:val="22"/>
              </w:rPr>
              <w:br/>
              <w:t>e o Estado brasile</w:t>
            </w:r>
            <w:r>
              <w:rPr>
                <w:sz w:val="22"/>
                <w:szCs w:val="22"/>
              </w:rPr>
              <w:t>iros.</w:t>
            </w:r>
          </w:p>
        </w:tc>
      </w:tr>
    </w:tbl>
    <w:p w:rsidR="004E4AF8" w:rsidRDefault="004E4AF8">
      <w:pPr>
        <w:spacing w:after="0" w:line="240" w:lineRule="auto"/>
        <w:jc w:val="left"/>
      </w:pPr>
    </w:p>
    <w:tbl>
      <w:tblPr>
        <w:tblStyle w:val="afffffffffffffffffff8"/>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tcBorders>
              <w:bottom w:val="single" w:sz="4" w:space="0" w:color="000000"/>
            </w:tcBorders>
            <w:shd w:val="clear" w:color="auto" w:fill="BFBFBF"/>
          </w:tcPr>
          <w:p w:rsidR="004E4AF8" w:rsidRDefault="00D62302">
            <w:pPr>
              <w:spacing w:line="259" w:lineRule="auto"/>
              <w:rPr>
                <w:b/>
              </w:rPr>
            </w:pPr>
            <w:r>
              <w:rPr>
                <w:b/>
              </w:rPr>
              <w:t xml:space="preserve">5 – </w:t>
            </w:r>
            <w:r>
              <w:rPr>
                <w:b/>
                <w:color w:val="C00000"/>
              </w:rPr>
              <w:t>MODELO</w:t>
            </w:r>
            <w:r>
              <w:rPr>
                <w:b/>
              </w:rPr>
              <w:t xml:space="preserve"> DE TERMO DE CIÊNCIA DA DECLARAÇÃO DE MANUTENÇÃO DE SIGILO</w:t>
            </w:r>
            <w:r>
              <w:rPr>
                <w:b/>
              </w:rPr>
              <w:br/>
              <w:t>E DAS NORMAS DE SEGURANÇA</w:t>
            </w:r>
          </w:p>
        </w:tc>
      </w:tr>
      <w:tr w:rsidR="004E4AF8">
        <w:trPr>
          <w:trHeight w:val="375"/>
        </w:trPr>
        <w:tc>
          <w:tcPr>
            <w:tcW w:w="9628" w:type="dxa"/>
            <w:shd w:val="clear" w:color="auto" w:fill="auto"/>
          </w:tcPr>
          <w:p w:rsidR="004E4AF8" w:rsidRDefault="00D62302">
            <w:pPr>
              <w:rPr>
                <w:sz w:val="20"/>
                <w:szCs w:val="20"/>
              </w:rPr>
            </w:pPr>
            <w:r>
              <w:rPr>
                <w:sz w:val="20"/>
                <w:szCs w:val="20"/>
              </w:rPr>
              <w:t xml:space="preserve">PREGÃO ELETRÔNICO N° </w:t>
            </w:r>
            <w:r>
              <w:rPr>
                <w:color w:val="0F6FC6"/>
                <w:sz w:val="20"/>
                <w:szCs w:val="20"/>
              </w:rPr>
              <w:t>XXX</w:t>
            </w:r>
            <w:r>
              <w:rPr>
                <w:sz w:val="20"/>
                <w:szCs w:val="20"/>
              </w:rPr>
              <w:t>/</w:t>
            </w:r>
            <w:r>
              <w:rPr>
                <w:color w:val="0F6FC6"/>
                <w:sz w:val="20"/>
                <w:szCs w:val="20"/>
              </w:rPr>
              <w:t>20XX</w:t>
            </w:r>
          </w:p>
          <w:p w:rsidR="004E4AF8" w:rsidRDefault="004E4AF8">
            <w:pPr>
              <w:rPr>
                <w:sz w:val="20"/>
                <w:szCs w:val="20"/>
              </w:rPr>
            </w:pPr>
          </w:p>
          <w:p w:rsidR="004E4AF8" w:rsidRDefault="00D62302">
            <w:pPr>
              <w:jc w:val="center"/>
              <w:rPr>
                <w:b/>
                <w:sz w:val="20"/>
                <w:szCs w:val="20"/>
              </w:rPr>
            </w:pPr>
            <w:r>
              <w:rPr>
                <w:b/>
                <w:sz w:val="20"/>
                <w:szCs w:val="20"/>
              </w:rPr>
              <w:t>DECLARAÇÃO DE CIÊNCIA DE TCMS</w:t>
            </w:r>
          </w:p>
          <w:p w:rsidR="004E4AF8" w:rsidRDefault="004E4AF8">
            <w:pPr>
              <w:rPr>
                <w:sz w:val="20"/>
                <w:szCs w:val="20"/>
              </w:rPr>
            </w:pPr>
          </w:p>
          <w:p w:rsidR="004E4AF8" w:rsidRDefault="00D62302">
            <w:pPr>
              <w:rPr>
                <w:sz w:val="20"/>
                <w:szCs w:val="20"/>
              </w:rPr>
            </w:pPr>
            <w:r>
              <w:rPr>
                <w:sz w:val="20"/>
                <w:szCs w:val="20"/>
              </w:rPr>
              <w:t>Por meio desta, o(a) Sr(a) &lt;</w:t>
            </w:r>
            <w:r>
              <w:rPr>
                <w:color w:val="0F6FC6"/>
                <w:sz w:val="20"/>
                <w:szCs w:val="20"/>
              </w:rPr>
              <w:t>nome do(a) diretor</w:t>
            </w:r>
            <w:r>
              <w:rPr>
                <w:sz w:val="20"/>
                <w:szCs w:val="20"/>
              </w:rPr>
              <w:t>&gt;, &lt;</w:t>
            </w:r>
            <w:r>
              <w:rPr>
                <w:color w:val="0F6FC6"/>
                <w:sz w:val="20"/>
                <w:szCs w:val="20"/>
              </w:rPr>
              <w:t>consultor, prestador de serviço, empregado ou preposto</w:t>
            </w:r>
            <w:r>
              <w:rPr>
                <w:sz w:val="20"/>
                <w:szCs w:val="20"/>
              </w:rPr>
              <w:t xml:space="preserve">&gt;, CPF </w:t>
            </w:r>
            <w:r>
              <w:rPr>
                <w:color w:val="0F6FC6"/>
                <w:sz w:val="20"/>
                <w:szCs w:val="20"/>
              </w:rPr>
              <w:t>XXXXXXXXXX</w:t>
            </w:r>
            <w:r>
              <w:rPr>
                <w:sz w:val="20"/>
                <w:szCs w:val="20"/>
              </w:rPr>
              <w:t>, ocupante do cargo &lt;</w:t>
            </w:r>
            <w:r>
              <w:rPr>
                <w:color w:val="0F6FC6"/>
                <w:sz w:val="20"/>
                <w:szCs w:val="20"/>
              </w:rPr>
              <w:t>cargo</w:t>
            </w:r>
            <w:r>
              <w:rPr>
                <w:sz w:val="20"/>
                <w:szCs w:val="20"/>
              </w:rPr>
              <w:t>&gt; na empresa &lt;</w:t>
            </w:r>
            <w:r>
              <w:rPr>
                <w:color w:val="0F6FC6"/>
                <w:sz w:val="20"/>
                <w:szCs w:val="20"/>
              </w:rPr>
              <w:t>Nome (Razão Social) da empresa</w:t>
            </w:r>
            <w:r>
              <w:rPr>
                <w:sz w:val="20"/>
                <w:szCs w:val="20"/>
              </w:rPr>
              <w:t xml:space="preserve">&gt;, CNPJ </w:t>
            </w:r>
            <w:r>
              <w:rPr>
                <w:color w:val="0F6FC6"/>
                <w:sz w:val="20"/>
                <w:szCs w:val="20"/>
              </w:rPr>
              <w:t>XXXXXXXXX</w:t>
            </w:r>
            <w:r>
              <w:rPr>
                <w:sz w:val="20"/>
                <w:szCs w:val="20"/>
              </w:rPr>
              <w:t>, declara sob as penas da Lei, ter tomado conhecimento do TERMO DE COMPROMISSO DE MANUTENÇÃO DE SI</w:t>
            </w:r>
            <w:r>
              <w:rPr>
                <w:sz w:val="20"/>
                <w:szCs w:val="20"/>
              </w:rPr>
              <w:t xml:space="preserve">GILO (TCMS), emitido por ocasião da assinatura do contrato nº </w:t>
            </w:r>
            <w:r>
              <w:rPr>
                <w:color w:val="0F6FC6"/>
                <w:sz w:val="20"/>
                <w:szCs w:val="20"/>
              </w:rPr>
              <w:t>XXXX</w:t>
            </w:r>
            <w:r>
              <w:rPr>
                <w:sz w:val="20"/>
                <w:szCs w:val="20"/>
              </w:rPr>
              <w:t>/</w:t>
            </w:r>
            <w:r>
              <w:rPr>
                <w:color w:val="0F6FC6"/>
                <w:sz w:val="20"/>
                <w:szCs w:val="20"/>
              </w:rPr>
              <w:t>20XX</w:t>
            </w:r>
            <w:r>
              <w:rPr>
                <w:sz w:val="20"/>
                <w:szCs w:val="20"/>
              </w:rPr>
              <w:t>, e se compromete a seguir, naquilo que lhe couber, todas as disposições do referido Termo.</w:t>
            </w:r>
          </w:p>
          <w:p w:rsidR="004E4AF8" w:rsidRDefault="004E4AF8">
            <w:pPr>
              <w:rPr>
                <w:sz w:val="20"/>
                <w:szCs w:val="20"/>
              </w:rPr>
            </w:pPr>
          </w:p>
          <w:p w:rsidR="004E4AF8" w:rsidRDefault="00D62302">
            <w:pPr>
              <w:jc w:val="center"/>
              <w:rPr>
                <w:sz w:val="20"/>
                <w:szCs w:val="20"/>
              </w:rPr>
            </w:pPr>
            <w:r>
              <w:rPr>
                <w:sz w:val="20"/>
                <w:szCs w:val="20"/>
              </w:rPr>
              <w:t>&lt;</w:t>
            </w:r>
            <w:r>
              <w:rPr>
                <w:color w:val="0F6FC6"/>
                <w:sz w:val="20"/>
                <w:szCs w:val="20"/>
              </w:rPr>
              <w:t>Local</w:t>
            </w:r>
            <w:r>
              <w:rPr>
                <w:sz w:val="20"/>
                <w:szCs w:val="20"/>
              </w:rPr>
              <w:t>&gt;, &lt;</w:t>
            </w:r>
            <w:r>
              <w:rPr>
                <w:color w:val="0F6FC6"/>
                <w:sz w:val="20"/>
                <w:szCs w:val="20"/>
              </w:rPr>
              <w:t>dia</w:t>
            </w:r>
            <w:r>
              <w:rPr>
                <w:sz w:val="20"/>
                <w:szCs w:val="20"/>
              </w:rPr>
              <w:t>&gt; de &lt;</w:t>
            </w:r>
            <w:r>
              <w:rPr>
                <w:color w:val="0F6FC6"/>
                <w:sz w:val="20"/>
                <w:szCs w:val="20"/>
              </w:rPr>
              <w:t>mês</w:t>
            </w:r>
            <w:r>
              <w:rPr>
                <w:sz w:val="20"/>
                <w:szCs w:val="20"/>
              </w:rPr>
              <w:t>&gt; de &lt;</w:t>
            </w:r>
            <w:r>
              <w:rPr>
                <w:color w:val="0F6FC6"/>
                <w:sz w:val="20"/>
                <w:szCs w:val="20"/>
              </w:rPr>
              <w:t>ano</w:t>
            </w:r>
            <w:r>
              <w:rPr>
                <w:sz w:val="20"/>
                <w:szCs w:val="20"/>
              </w:rPr>
              <w:t>&gt;.</w:t>
            </w:r>
          </w:p>
          <w:p w:rsidR="004E4AF8" w:rsidRDefault="004E4AF8">
            <w:pPr>
              <w:rPr>
                <w:sz w:val="20"/>
                <w:szCs w:val="20"/>
              </w:rPr>
            </w:pPr>
          </w:p>
          <w:p w:rsidR="004E4AF8" w:rsidRDefault="00D62302">
            <w:pPr>
              <w:jc w:val="center"/>
              <w:rPr>
                <w:sz w:val="20"/>
                <w:szCs w:val="20"/>
              </w:rPr>
            </w:pPr>
            <w:r>
              <w:rPr>
                <w:sz w:val="20"/>
                <w:szCs w:val="20"/>
              </w:rPr>
              <w:t>____________________________________________</w:t>
            </w:r>
          </w:p>
          <w:p w:rsidR="004E4AF8" w:rsidRDefault="00D62302">
            <w:pPr>
              <w:jc w:val="center"/>
              <w:rPr>
                <w:sz w:val="20"/>
                <w:szCs w:val="20"/>
              </w:rPr>
            </w:pPr>
            <w:r>
              <w:rPr>
                <w:sz w:val="20"/>
                <w:szCs w:val="20"/>
              </w:rPr>
              <w:t>Assinatura</w:t>
            </w:r>
          </w:p>
        </w:tc>
      </w:tr>
    </w:tbl>
    <w:p w:rsidR="004E4AF8" w:rsidRDefault="00D62302">
      <w:pPr>
        <w:pStyle w:val="Ttulo2"/>
        <w:numPr>
          <w:ilvl w:val="1"/>
          <w:numId w:val="5"/>
        </w:numPr>
      </w:pPr>
      <w:bookmarkStart w:id="35" w:name="_heading=h.3o7alnk" w:colFirst="0" w:colLast="0"/>
      <w:bookmarkEnd w:id="35"/>
      <w:r>
        <w:lastRenderedPageBreak/>
        <w:t>Plano de Sustentação e Transição Contratual</w:t>
      </w:r>
    </w:p>
    <w:p w:rsidR="004E4AF8" w:rsidRDefault="004E4AF8">
      <w:pPr>
        <w:jc w:val="center"/>
        <w:rPr>
          <w:b/>
          <w:sz w:val="32"/>
          <w:szCs w:val="32"/>
        </w:rPr>
      </w:pPr>
    </w:p>
    <w:p w:rsidR="004E4AF8" w:rsidRDefault="004E4AF8">
      <w:pPr>
        <w:jc w:val="center"/>
        <w:rPr>
          <w:b/>
          <w:sz w:val="32"/>
          <w:szCs w:val="32"/>
        </w:rPr>
      </w:pPr>
    </w:p>
    <w:p w:rsidR="004E4AF8" w:rsidRDefault="00D62302">
      <w:pPr>
        <w:jc w:val="center"/>
        <w:rPr>
          <w:b/>
        </w:rPr>
      </w:pPr>
      <w:r>
        <w:rPr>
          <w:b/>
          <w:sz w:val="32"/>
          <w:szCs w:val="32"/>
        </w:rPr>
        <w:t xml:space="preserve">PLANO DE SUSTENTAÇÃO E TRASIÇÃO CONTRATUAL </w:t>
      </w: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Processo Administrativo nº &lt;</w:t>
      </w:r>
      <w:r>
        <w:rPr>
          <w:b/>
          <w:color w:val="0F6FC6"/>
          <w:sz w:val="28"/>
          <w:szCs w:val="28"/>
        </w:rPr>
        <w:t>XXXXXXXXXXXXXXX</w:t>
      </w:r>
      <w:r>
        <w:rPr>
          <w:b/>
          <w:sz w:val="28"/>
          <w:szCs w:val="28"/>
        </w:rPr>
        <w:t>&gt;</w:t>
      </w:r>
    </w:p>
    <w:p w:rsidR="004E4AF8" w:rsidRDefault="004E4AF8">
      <w:pPr>
        <w:jc w:val="center"/>
      </w:pP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&lt;</w:t>
      </w:r>
      <w:r>
        <w:rPr>
          <w:b/>
          <w:color w:val="0F6FC6"/>
          <w:sz w:val="28"/>
          <w:szCs w:val="28"/>
        </w:rPr>
        <w:t>Nome do Projeto / Solução</w:t>
      </w:r>
      <w:r>
        <w:rPr>
          <w:b/>
          <w:sz w:val="28"/>
          <w:szCs w:val="28"/>
        </w:rPr>
        <w:t>&gt;</w:t>
      </w:r>
    </w:p>
    <w:p w:rsidR="004E4AF8" w:rsidRDefault="004E4AF8">
      <w:pPr>
        <w:jc w:val="center"/>
      </w:pPr>
    </w:p>
    <w:p w:rsidR="004E4AF8" w:rsidRDefault="004E4AF8">
      <w:pPr>
        <w:jc w:val="center"/>
      </w:pPr>
    </w:p>
    <w:p w:rsidR="004E4AF8" w:rsidRDefault="00D62302">
      <w:pPr>
        <w:jc w:val="center"/>
        <w:rPr>
          <w:b/>
          <w:sz w:val="28"/>
          <w:szCs w:val="28"/>
        </w:rPr>
      </w:pPr>
      <w:r>
        <w:rPr>
          <w:b/>
          <w:sz w:val="28"/>
          <w:szCs w:val="28"/>
        </w:rPr>
        <w:t>&lt;</w:t>
      </w:r>
      <w:r>
        <w:rPr>
          <w:b/>
          <w:color w:val="0F6FC6"/>
          <w:sz w:val="28"/>
          <w:szCs w:val="28"/>
        </w:rPr>
        <w:t>local</w:t>
      </w:r>
      <w:r>
        <w:rPr>
          <w:b/>
          <w:sz w:val="28"/>
          <w:szCs w:val="28"/>
        </w:rPr>
        <w:t>&gt;, &lt;</w:t>
      </w:r>
      <w:r>
        <w:rPr>
          <w:b/>
          <w:color w:val="0F6FC6"/>
          <w:sz w:val="28"/>
          <w:szCs w:val="28"/>
        </w:rPr>
        <w:t>mês</w:t>
      </w:r>
      <w:r>
        <w:rPr>
          <w:b/>
          <w:sz w:val="28"/>
          <w:szCs w:val="28"/>
        </w:rPr>
        <w:t>&gt; de &lt;</w:t>
      </w:r>
      <w:r>
        <w:rPr>
          <w:b/>
          <w:color w:val="0F6FC6"/>
          <w:sz w:val="28"/>
          <w:szCs w:val="28"/>
        </w:rPr>
        <w:t>ano</w:t>
      </w:r>
      <w:r>
        <w:rPr>
          <w:b/>
          <w:sz w:val="28"/>
          <w:szCs w:val="28"/>
        </w:rPr>
        <w:t>&gt;</w:t>
      </w:r>
    </w:p>
    <w:p w:rsidR="004E4AF8" w:rsidRDefault="00D62302">
      <w:pPr>
        <w:spacing w:line="259" w:lineRule="auto"/>
        <w:jc w:val="left"/>
      </w:pPr>
      <w:r>
        <w:br w:type="page"/>
      </w:r>
    </w:p>
    <w:p w:rsidR="004E4AF8" w:rsidRDefault="00D62302">
      <w:pPr>
        <w:jc w:val="center"/>
        <w:rPr>
          <w:b/>
        </w:rPr>
      </w:pPr>
      <w:r>
        <w:rPr>
          <w:b/>
        </w:rPr>
        <w:lastRenderedPageBreak/>
        <w:t>HISTÓRICO DE REVISÕES</w:t>
      </w:r>
    </w:p>
    <w:tbl>
      <w:tblPr>
        <w:tblStyle w:val="afffffffffffffffffff9"/>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A0" w:firstRow="1" w:lastRow="0" w:firstColumn="1" w:lastColumn="0" w:noHBand="0" w:noVBand="1"/>
      </w:tblPr>
      <w:tblGrid>
        <w:gridCol w:w="1696"/>
        <w:gridCol w:w="1276"/>
        <w:gridCol w:w="4111"/>
        <w:gridCol w:w="2545"/>
      </w:tblGrid>
      <w:tr w:rsidR="004E4AF8" w:rsidTr="004E4AF8">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t>DATA</w:t>
            </w:r>
          </w:p>
        </w:tc>
        <w:tc>
          <w:tcPr>
            <w:tcW w:w="1276"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VERSÃO</w:t>
            </w:r>
          </w:p>
        </w:tc>
        <w:tc>
          <w:tcPr>
            <w:tcW w:w="4111"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DESCRIÇÃO</w:t>
            </w:r>
          </w:p>
        </w:tc>
        <w:tc>
          <w:tcPr>
            <w:tcW w:w="2545" w:type="dxa"/>
            <w:vAlign w:val="center"/>
          </w:tcPr>
          <w:p w:rsidR="004E4AF8" w:rsidRDefault="00D62302">
            <w:pPr>
              <w:jc w:val="center"/>
              <w:cnfStyle w:val="100000000000" w:firstRow="1" w:lastRow="0" w:firstColumn="0" w:lastColumn="0" w:oddVBand="0" w:evenVBand="0" w:oddHBand="0" w:evenHBand="0" w:firstRowFirstColumn="0" w:firstRowLastColumn="0" w:lastRowFirstColumn="0" w:lastRowLastColumn="0"/>
            </w:pPr>
            <w:r>
              <w:t>AUTOR</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pPr>
            <w:r>
              <w:t>1.0</w:t>
            </w:r>
          </w:p>
        </w:tc>
        <w:tc>
          <w:tcPr>
            <w:tcW w:w="4111" w:type="dxa"/>
            <w:vAlign w:val="center"/>
          </w:tcPr>
          <w:p w:rsidR="004E4AF8" w:rsidRDefault="00D62302">
            <w:pPr>
              <w:cnfStyle w:val="000000100000" w:firstRow="0" w:lastRow="0" w:firstColumn="0" w:lastColumn="0" w:oddVBand="0" w:evenVBand="0" w:oddHBand="1" w:evenHBand="0" w:firstRowFirstColumn="0" w:firstRowLastColumn="0" w:lastRowFirstColumn="0" w:lastRowLastColumn="0"/>
              <w:rPr>
                <w:color w:val="0F6FC6"/>
              </w:rPr>
            </w:pPr>
            <w:r>
              <w:rPr>
                <w:color w:val="0F6FC6"/>
              </w:rPr>
              <w:t>Finalização da primeira versão do documento</w:t>
            </w:r>
          </w:p>
        </w:tc>
        <w:tc>
          <w:tcPr>
            <w:tcW w:w="2545" w:type="dxa"/>
            <w:vAlign w:val="center"/>
          </w:tcPr>
          <w:p w:rsidR="004E4AF8" w:rsidRDefault="00D62302">
            <w:pPr>
              <w:jc w:val="center"/>
              <w:cnfStyle w:val="000000100000" w:firstRow="0" w:lastRow="0" w:firstColumn="0" w:lastColumn="0" w:oddVBand="0" w:evenVBand="0" w:oddHBand="1" w:evenHBand="0" w:firstRowFirstColumn="0" w:firstRowLastColumn="0" w:lastRowFirstColumn="0" w:lastRowLastColumn="0"/>
              <w:rPr>
                <w:color w:val="0F6FC6"/>
              </w:rPr>
            </w:pPr>
            <w:r>
              <w:rPr>
                <w:color w:val="0F6FC6"/>
              </w:rPr>
              <w:t>XXXXXXXXXXX</w:t>
            </w: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D62302">
            <w:pPr>
              <w:jc w:val="center"/>
            </w:pPr>
            <w:r>
              <w:rPr>
                <w:color w:val="0F6FC6"/>
              </w:rPr>
              <w:t>XX</w:t>
            </w:r>
            <w:r>
              <w:t>/</w:t>
            </w:r>
            <w:r>
              <w:rPr>
                <w:color w:val="0F6FC6"/>
              </w:rPr>
              <w:t>XX</w:t>
            </w:r>
            <w:r>
              <w:t>/</w:t>
            </w:r>
            <w:r>
              <w:rPr>
                <w:color w:val="0F6FC6"/>
              </w:rPr>
              <w:t>20XX</w:t>
            </w:r>
          </w:p>
        </w:tc>
        <w:tc>
          <w:tcPr>
            <w:tcW w:w="1276"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pPr>
            <w:r>
              <w:t>2.0</w:t>
            </w:r>
          </w:p>
        </w:tc>
        <w:tc>
          <w:tcPr>
            <w:tcW w:w="4111" w:type="dxa"/>
            <w:vAlign w:val="center"/>
          </w:tcPr>
          <w:p w:rsidR="004E4AF8" w:rsidRDefault="00D62302">
            <w:pPr>
              <w:cnfStyle w:val="000000000000" w:firstRow="0" w:lastRow="0" w:firstColumn="0" w:lastColumn="0" w:oddVBand="0" w:evenVBand="0" w:oddHBand="0" w:evenHBand="0" w:firstRowFirstColumn="0" w:firstRowLastColumn="0" w:lastRowFirstColumn="0" w:lastRowLastColumn="0"/>
              <w:rPr>
                <w:color w:val="0F6FC6"/>
              </w:rPr>
            </w:pPr>
            <w:r>
              <w:rPr>
                <w:color w:val="0F6FC6"/>
              </w:rPr>
              <w:t>Revisão do documento após análise jurídica</w:t>
            </w:r>
          </w:p>
        </w:tc>
        <w:tc>
          <w:tcPr>
            <w:tcW w:w="2545" w:type="dxa"/>
            <w:vAlign w:val="center"/>
          </w:tcPr>
          <w:p w:rsidR="004E4AF8" w:rsidRDefault="00D62302">
            <w:pPr>
              <w:jc w:val="center"/>
              <w:cnfStyle w:val="000000000000" w:firstRow="0" w:lastRow="0" w:firstColumn="0" w:lastColumn="0" w:oddVBand="0" w:evenVBand="0" w:oddHBand="0" w:evenHBand="0" w:firstRowFirstColumn="0" w:firstRowLastColumn="0" w:lastRowFirstColumn="0" w:lastRowLastColumn="0"/>
              <w:rPr>
                <w:color w:val="0F6FC6"/>
              </w:rPr>
            </w:pPr>
            <w:r>
              <w:rPr>
                <w:color w:val="0F6FC6"/>
              </w:rPr>
              <w:t>XXXXXXXXXXX</w:t>
            </w:r>
          </w:p>
        </w:tc>
      </w:tr>
      <w:tr w:rsidR="004E4AF8" w:rsidTr="004E4A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c>
          <w:tcPr>
            <w:tcW w:w="4111" w:type="dxa"/>
            <w:vAlign w:val="center"/>
          </w:tcPr>
          <w:p w:rsidR="004E4AF8" w:rsidRDefault="004E4AF8">
            <w:pPr>
              <w:cnfStyle w:val="000000100000" w:firstRow="0" w:lastRow="0" w:firstColumn="0" w:lastColumn="0" w:oddVBand="0" w:evenVBand="0" w:oddHBand="1" w:evenHBand="0" w:firstRowFirstColumn="0" w:firstRowLastColumn="0" w:lastRowFirstColumn="0" w:lastRowLastColumn="0"/>
            </w:pPr>
          </w:p>
        </w:tc>
        <w:tc>
          <w:tcPr>
            <w:tcW w:w="2545" w:type="dxa"/>
            <w:vAlign w:val="center"/>
          </w:tcPr>
          <w:p w:rsidR="004E4AF8" w:rsidRDefault="004E4AF8">
            <w:pPr>
              <w:jc w:val="center"/>
              <w:cnfStyle w:val="000000100000" w:firstRow="0" w:lastRow="0" w:firstColumn="0" w:lastColumn="0" w:oddVBand="0" w:evenVBand="0" w:oddHBand="1" w:evenHBand="0" w:firstRowFirstColumn="0" w:firstRowLastColumn="0" w:lastRowFirstColumn="0" w:lastRowLastColumn="0"/>
            </w:pPr>
          </w:p>
        </w:tc>
      </w:tr>
      <w:tr w:rsidR="004E4AF8" w:rsidTr="004E4AF8">
        <w:trPr>
          <w:trHeight w:val="555"/>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E4AF8" w:rsidRDefault="004E4AF8">
            <w:pPr>
              <w:jc w:val="center"/>
            </w:pPr>
          </w:p>
        </w:tc>
        <w:tc>
          <w:tcPr>
            <w:tcW w:w="1276"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c>
          <w:tcPr>
            <w:tcW w:w="4111" w:type="dxa"/>
            <w:vAlign w:val="center"/>
          </w:tcPr>
          <w:p w:rsidR="004E4AF8" w:rsidRDefault="004E4AF8">
            <w:pPr>
              <w:cnfStyle w:val="000000000000" w:firstRow="0" w:lastRow="0" w:firstColumn="0" w:lastColumn="0" w:oddVBand="0" w:evenVBand="0" w:oddHBand="0" w:evenHBand="0" w:firstRowFirstColumn="0" w:firstRowLastColumn="0" w:lastRowFirstColumn="0" w:lastRowLastColumn="0"/>
            </w:pPr>
          </w:p>
        </w:tc>
        <w:tc>
          <w:tcPr>
            <w:tcW w:w="2545" w:type="dxa"/>
            <w:vAlign w:val="center"/>
          </w:tcPr>
          <w:p w:rsidR="004E4AF8" w:rsidRDefault="004E4AF8">
            <w:pPr>
              <w:jc w:val="center"/>
              <w:cnfStyle w:val="000000000000" w:firstRow="0" w:lastRow="0" w:firstColumn="0" w:lastColumn="0" w:oddVBand="0" w:evenVBand="0" w:oddHBand="0" w:evenHBand="0" w:firstRowFirstColumn="0" w:firstRowLastColumn="0" w:lastRowFirstColumn="0" w:lastRowLastColumn="0"/>
            </w:pPr>
          </w:p>
        </w:tc>
      </w:tr>
    </w:tbl>
    <w:p w:rsidR="004E4AF8" w:rsidRDefault="004E4AF8"/>
    <w:p w:rsidR="004E4AF8" w:rsidRDefault="00D62302">
      <w:pPr>
        <w:spacing w:line="259" w:lineRule="auto"/>
        <w:jc w:val="left"/>
      </w:pPr>
      <w:r>
        <w:br w:type="page"/>
      </w:r>
    </w:p>
    <w:p w:rsidR="004E4AF8" w:rsidRDefault="00D62302">
      <w:pPr>
        <w:jc w:val="center"/>
        <w:rPr>
          <w:b/>
        </w:rPr>
      </w:pPr>
      <w:r>
        <w:rPr>
          <w:b/>
          <w:sz w:val="32"/>
          <w:szCs w:val="32"/>
        </w:rPr>
        <w:lastRenderedPageBreak/>
        <w:t>PLANO DE SUSTENTAÇÃO E TRASIÇÃO CONTRATUAL</w:t>
      </w:r>
    </w:p>
    <w:tbl>
      <w:tblPr>
        <w:tblStyle w:val="afffffffffffffffffffa"/>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9628"/>
      </w:tblGrid>
      <w:tr w:rsidR="004E4AF8">
        <w:tc>
          <w:tcPr>
            <w:tcW w:w="9628" w:type="dxa"/>
            <w:tcBorders>
              <w:bottom w:val="single" w:sz="4" w:space="0" w:color="000000"/>
            </w:tcBorders>
            <w:shd w:val="clear" w:color="auto" w:fill="BFBFBF"/>
          </w:tcPr>
          <w:p w:rsidR="004E4AF8" w:rsidRDefault="00D62302">
            <w:pPr>
              <w:spacing w:line="259" w:lineRule="auto"/>
              <w:rPr>
                <w:b/>
              </w:rPr>
            </w:pPr>
            <w:r>
              <w:rPr>
                <w:b/>
              </w:rPr>
              <w:t>1 – INTRODUÇÃO</w:t>
            </w:r>
          </w:p>
        </w:tc>
      </w:tr>
      <w:tr w:rsidR="004E4AF8">
        <w:trPr>
          <w:trHeight w:val="375"/>
        </w:trPr>
        <w:tc>
          <w:tcPr>
            <w:tcW w:w="9628" w:type="dxa"/>
            <w:shd w:val="clear" w:color="auto" w:fill="auto"/>
          </w:tcPr>
          <w:p w:rsidR="004E4AF8" w:rsidRDefault="004E4AF8">
            <w:pPr>
              <w:rPr>
                <w:sz w:val="20"/>
                <w:szCs w:val="20"/>
              </w:rPr>
            </w:pPr>
          </w:p>
          <w:p w:rsidR="004E4AF8" w:rsidRDefault="00D62302">
            <w:pPr>
              <w:rPr>
                <w:sz w:val="20"/>
                <w:szCs w:val="20"/>
              </w:rPr>
            </w:pPr>
            <w:r>
              <w:rPr>
                <w:sz w:val="20"/>
                <w:szCs w:val="20"/>
              </w:rPr>
              <w:t xml:space="preserve">A etapa de elaboração da Sustentação do Contrato compreende (art. </w:t>
            </w:r>
            <w:r>
              <w:rPr>
                <w:color w:val="0F6FC6"/>
                <w:sz w:val="20"/>
                <w:szCs w:val="20"/>
              </w:rPr>
              <w:t>XX</w:t>
            </w:r>
            <w:r>
              <w:rPr>
                <w:sz w:val="20"/>
                <w:szCs w:val="20"/>
              </w:rPr>
              <w:t xml:space="preserve">, da Res. </w:t>
            </w:r>
            <w:r>
              <w:rPr>
                <w:color w:val="0F6FC6"/>
                <w:sz w:val="20"/>
                <w:szCs w:val="20"/>
              </w:rPr>
              <w:t>XXX</w:t>
            </w:r>
            <w:r>
              <w:rPr>
                <w:sz w:val="20"/>
                <w:szCs w:val="20"/>
              </w:rPr>
              <w:t>):</w:t>
            </w:r>
          </w:p>
          <w:p w:rsidR="004E4AF8" w:rsidRDefault="00D62302">
            <w:pPr>
              <w:rPr>
                <w:sz w:val="20"/>
                <w:szCs w:val="20"/>
              </w:rPr>
            </w:pPr>
            <w:r>
              <w:rPr>
                <w:sz w:val="20"/>
                <w:szCs w:val="20"/>
              </w:rPr>
              <w:t>a) definir Recursos Materiais e Humanos;</w:t>
            </w:r>
          </w:p>
          <w:p w:rsidR="004E4AF8" w:rsidRDefault="00D62302">
            <w:pPr>
              <w:rPr>
                <w:sz w:val="20"/>
                <w:szCs w:val="20"/>
              </w:rPr>
            </w:pPr>
            <w:r>
              <w:rPr>
                <w:sz w:val="20"/>
                <w:szCs w:val="20"/>
              </w:rPr>
              <w:t>b) elaborar Estratégia de Continuidade;</w:t>
            </w:r>
          </w:p>
          <w:p w:rsidR="004E4AF8" w:rsidRDefault="00D62302">
            <w:pPr>
              <w:rPr>
                <w:sz w:val="20"/>
                <w:szCs w:val="20"/>
              </w:rPr>
            </w:pPr>
            <w:r>
              <w:rPr>
                <w:sz w:val="20"/>
                <w:szCs w:val="20"/>
              </w:rPr>
              <w:t>c) definir Atividades de Transição e Encerramento do Contrato;</w:t>
            </w:r>
          </w:p>
          <w:p w:rsidR="004E4AF8" w:rsidRDefault="00D62302">
            <w:pPr>
              <w:rPr>
                <w:sz w:val="20"/>
                <w:szCs w:val="20"/>
              </w:rPr>
            </w:pPr>
            <w:r>
              <w:rPr>
                <w:sz w:val="20"/>
                <w:szCs w:val="20"/>
              </w:rPr>
              <w:t>d) elaborar Estratégia de In</w:t>
            </w:r>
            <w:r>
              <w:rPr>
                <w:sz w:val="20"/>
                <w:szCs w:val="20"/>
              </w:rPr>
              <w:t>dependência.</w:t>
            </w:r>
          </w:p>
          <w:p w:rsidR="004E4AF8" w:rsidRDefault="004E4AF8">
            <w:pPr>
              <w:rPr>
                <w:sz w:val="20"/>
                <w:szCs w:val="20"/>
              </w:rPr>
            </w:pPr>
          </w:p>
          <w:p w:rsidR="004E4AF8" w:rsidRDefault="00D62302">
            <w:pPr>
              <w:rPr>
                <w:b/>
                <w:sz w:val="20"/>
                <w:szCs w:val="20"/>
              </w:rPr>
            </w:pPr>
            <w:r>
              <w:rPr>
                <w:b/>
                <w:sz w:val="20"/>
                <w:szCs w:val="20"/>
              </w:rPr>
              <w:t xml:space="preserve">Referência: Art. </w:t>
            </w:r>
            <w:r>
              <w:rPr>
                <w:b/>
                <w:color w:val="0F6FC6"/>
                <w:sz w:val="20"/>
                <w:szCs w:val="20"/>
              </w:rPr>
              <w:t xml:space="preserve">XX </w:t>
            </w:r>
            <w:r>
              <w:rPr>
                <w:b/>
                <w:sz w:val="20"/>
                <w:szCs w:val="20"/>
              </w:rPr>
              <w:t xml:space="preserve">da Resolução CNJ Nº </w:t>
            </w:r>
            <w:r>
              <w:rPr>
                <w:b/>
                <w:color w:val="0F6FC6"/>
                <w:sz w:val="20"/>
                <w:szCs w:val="20"/>
              </w:rPr>
              <w:t xml:space="preserve">XXX </w:t>
            </w:r>
            <w:r>
              <w:rPr>
                <w:b/>
                <w:sz w:val="20"/>
                <w:szCs w:val="20"/>
              </w:rPr>
              <w:t>/</w:t>
            </w:r>
            <w:r>
              <w:rPr>
                <w:b/>
                <w:color w:val="0F6FC6"/>
                <w:sz w:val="20"/>
                <w:szCs w:val="20"/>
              </w:rPr>
              <w:t>20XX</w:t>
            </w:r>
            <w:r>
              <w:rPr>
                <w:b/>
                <w:sz w:val="20"/>
                <w:szCs w:val="20"/>
              </w:rPr>
              <w:t>.</w:t>
            </w:r>
          </w:p>
          <w:p w:rsidR="004E4AF8" w:rsidRDefault="004E4AF8">
            <w:pPr>
              <w:rPr>
                <w:sz w:val="20"/>
                <w:szCs w:val="20"/>
              </w:rPr>
            </w:pPr>
          </w:p>
        </w:tc>
      </w:tr>
    </w:tbl>
    <w:p w:rsidR="004E4AF8" w:rsidRDefault="004E4AF8">
      <w:pPr>
        <w:spacing w:after="0" w:line="240" w:lineRule="auto"/>
        <w:jc w:val="left"/>
      </w:pPr>
    </w:p>
    <w:tbl>
      <w:tblPr>
        <w:tblStyle w:val="afffffffffffffffffffb"/>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1365"/>
        <w:gridCol w:w="8263"/>
      </w:tblGrid>
      <w:tr w:rsidR="004E4AF8">
        <w:tc>
          <w:tcPr>
            <w:tcW w:w="9628" w:type="dxa"/>
            <w:gridSpan w:val="2"/>
            <w:tcBorders>
              <w:bottom w:val="single" w:sz="4" w:space="0" w:color="000000"/>
            </w:tcBorders>
            <w:shd w:val="clear" w:color="auto" w:fill="BFBFBF"/>
          </w:tcPr>
          <w:p w:rsidR="004E4AF8" w:rsidRDefault="00D62302">
            <w:pPr>
              <w:spacing w:line="259" w:lineRule="auto"/>
              <w:rPr>
                <w:b/>
              </w:rPr>
            </w:pPr>
            <w:r>
              <w:rPr>
                <w:b/>
              </w:rPr>
              <w:t>2 – RECURSOS NECESSÁRIOS À CONTINUIDADE DO NEGÓCIO DURANTE E APÓS A</w:t>
            </w:r>
            <w:r>
              <w:rPr>
                <w:b/>
              </w:rPr>
              <w:br/>
              <w:t>EXECUÇÃO DO CONTRATO</w:t>
            </w:r>
          </w:p>
        </w:tc>
      </w:tr>
      <w:tr w:rsidR="004E4AF8">
        <w:trPr>
          <w:trHeight w:val="343"/>
        </w:trPr>
        <w:tc>
          <w:tcPr>
            <w:tcW w:w="9628" w:type="dxa"/>
            <w:gridSpan w:val="2"/>
            <w:shd w:val="clear" w:color="auto" w:fill="D9D9D9"/>
            <w:vAlign w:val="center"/>
          </w:tcPr>
          <w:p w:rsidR="004E4AF8" w:rsidRDefault="00D62302">
            <w:pPr>
              <w:jc w:val="left"/>
              <w:rPr>
                <w:b/>
                <w:sz w:val="22"/>
                <w:szCs w:val="22"/>
              </w:rPr>
            </w:pPr>
            <w:r>
              <w:rPr>
                <w:b/>
              </w:rPr>
              <w:t>2.1 – Recursos Materiais</w:t>
            </w:r>
          </w:p>
        </w:tc>
      </w:tr>
      <w:tr w:rsidR="004E4AF8">
        <w:trPr>
          <w:trHeight w:val="405"/>
        </w:trPr>
        <w:tc>
          <w:tcPr>
            <w:tcW w:w="1365" w:type="dxa"/>
            <w:shd w:val="clear" w:color="auto" w:fill="F2F2F2"/>
            <w:vAlign w:val="center"/>
          </w:tcPr>
          <w:p w:rsidR="004E4AF8" w:rsidRDefault="00D62302">
            <w:pPr>
              <w:jc w:val="center"/>
              <w:rPr>
                <w:b/>
                <w:color w:val="0F6FC6"/>
                <w:sz w:val="22"/>
                <w:szCs w:val="22"/>
              </w:rPr>
            </w:pPr>
            <w:r>
              <w:rPr>
                <w:b/>
                <w:color w:val="0F6FC6"/>
                <w:sz w:val="22"/>
                <w:szCs w:val="22"/>
              </w:rPr>
              <w:t>1</w:t>
            </w:r>
          </w:p>
        </w:tc>
        <w:tc>
          <w:tcPr>
            <w:tcW w:w="8263" w:type="dxa"/>
            <w:shd w:val="clear" w:color="auto" w:fill="auto"/>
            <w:vAlign w:val="center"/>
          </w:tcPr>
          <w:p w:rsidR="004E4AF8" w:rsidRDefault="00D62302">
            <w:pPr>
              <w:rPr>
                <w:sz w:val="22"/>
                <w:szCs w:val="22"/>
              </w:rPr>
            </w:pPr>
            <w:r>
              <w:rPr>
                <w:sz w:val="22"/>
                <w:szCs w:val="22"/>
              </w:rPr>
              <w:t>&lt;</w:t>
            </w:r>
            <w:r>
              <w:rPr>
                <w:color w:val="0F6FC6"/>
                <w:sz w:val="22"/>
                <w:szCs w:val="22"/>
              </w:rPr>
              <w:t>Descrição da necessidade de recurso 1</w:t>
            </w:r>
            <w:r>
              <w:rPr>
                <w:sz w:val="22"/>
                <w:szCs w:val="22"/>
              </w:rPr>
              <w:t>&gt;</w:t>
            </w:r>
          </w:p>
        </w:tc>
      </w:tr>
      <w:tr w:rsidR="004E4AF8">
        <w:trPr>
          <w:trHeight w:val="405"/>
        </w:trPr>
        <w:tc>
          <w:tcPr>
            <w:tcW w:w="1365" w:type="dxa"/>
            <w:shd w:val="clear" w:color="auto" w:fill="F2F2F2"/>
            <w:vAlign w:val="center"/>
          </w:tcPr>
          <w:p w:rsidR="004E4AF8" w:rsidRDefault="00D62302">
            <w:pPr>
              <w:jc w:val="center"/>
              <w:rPr>
                <w:b/>
                <w:color w:val="0F6FC6"/>
                <w:sz w:val="22"/>
                <w:szCs w:val="22"/>
              </w:rPr>
            </w:pPr>
            <w:r>
              <w:rPr>
                <w:b/>
                <w:color w:val="0F6FC6"/>
                <w:sz w:val="22"/>
                <w:szCs w:val="22"/>
              </w:rPr>
              <w:t>N</w:t>
            </w:r>
          </w:p>
        </w:tc>
        <w:tc>
          <w:tcPr>
            <w:tcW w:w="8263" w:type="dxa"/>
            <w:shd w:val="clear" w:color="auto" w:fill="auto"/>
            <w:vAlign w:val="center"/>
          </w:tcPr>
          <w:p w:rsidR="004E4AF8" w:rsidRDefault="00D62302">
            <w:pPr>
              <w:rPr>
                <w:sz w:val="22"/>
                <w:szCs w:val="22"/>
              </w:rPr>
            </w:pPr>
            <w:r>
              <w:rPr>
                <w:sz w:val="22"/>
                <w:szCs w:val="22"/>
              </w:rPr>
              <w:t>&lt;</w:t>
            </w:r>
            <w:r>
              <w:rPr>
                <w:color w:val="0F6FC6"/>
                <w:sz w:val="22"/>
                <w:szCs w:val="22"/>
              </w:rPr>
              <w:t>Descrição da necessidade de recurso N</w:t>
            </w:r>
            <w:r>
              <w:rPr>
                <w:sz w:val="22"/>
                <w:szCs w:val="22"/>
              </w:rPr>
              <w:t>&gt;</w:t>
            </w:r>
          </w:p>
        </w:tc>
      </w:tr>
      <w:tr w:rsidR="004E4AF8">
        <w:trPr>
          <w:trHeight w:val="343"/>
        </w:trPr>
        <w:tc>
          <w:tcPr>
            <w:tcW w:w="9628" w:type="dxa"/>
            <w:gridSpan w:val="2"/>
            <w:shd w:val="clear" w:color="auto" w:fill="D9D9D9"/>
            <w:vAlign w:val="center"/>
          </w:tcPr>
          <w:p w:rsidR="004E4AF8" w:rsidRDefault="00D62302">
            <w:pPr>
              <w:jc w:val="left"/>
              <w:rPr>
                <w:b/>
                <w:sz w:val="22"/>
                <w:szCs w:val="22"/>
              </w:rPr>
            </w:pPr>
            <w:r>
              <w:rPr>
                <w:b/>
              </w:rPr>
              <w:t>2.1.1 – Disponibilidade</w:t>
            </w:r>
          </w:p>
        </w:tc>
      </w:tr>
      <w:tr w:rsidR="004E4AF8">
        <w:trPr>
          <w:trHeight w:val="405"/>
        </w:trPr>
        <w:tc>
          <w:tcPr>
            <w:tcW w:w="1365" w:type="dxa"/>
            <w:shd w:val="clear" w:color="auto" w:fill="F2F2F2"/>
            <w:vAlign w:val="center"/>
          </w:tcPr>
          <w:p w:rsidR="004E4AF8" w:rsidRDefault="00D62302">
            <w:pPr>
              <w:jc w:val="center"/>
              <w:rPr>
                <w:b/>
                <w:color w:val="0F6FC6"/>
                <w:sz w:val="22"/>
                <w:szCs w:val="22"/>
              </w:rPr>
            </w:pPr>
            <w:r>
              <w:rPr>
                <w:b/>
                <w:color w:val="0F6FC6"/>
                <w:sz w:val="22"/>
                <w:szCs w:val="22"/>
              </w:rPr>
              <w:t>1</w:t>
            </w:r>
          </w:p>
        </w:tc>
        <w:tc>
          <w:tcPr>
            <w:tcW w:w="8263" w:type="dxa"/>
            <w:shd w:val="clear" w:color="auto" w:fill="auto"/>
            <w:vAlign w:val="center"/>
          </w:tcPr>
          <w:p w:rsidR="004E4AF8" w:rsidRDefault="00D62302">
            <w:pPr>
              <w:rPr>
                <w:sz w:val="22"/>
                <w:szCs w:val="22"/>
              </w:rPr>
            </w:pPr>
            <w:r>
              <w:rPr>
                <w:sz w:val="22"/>
                <w:szCs w:val="22"/>
              </w:rPr>
              <w:t>&lt;</w:t>
            </w:r>
            <w:r>
              <w:rPr>
                <w:color w:val="0F6FC6"/>
                <w:sz w:val="22"/>
                <w:szCs w:val="22"/>
              </w:rPr>
              <w:t>Ações Para Obtenção do Recurso e Seus Respectivos Responsáveis 1</w:t>
            </w:r>
            <w:r>
              <w:rPr>
                <w:sz w:val="22"/>
                <w:szCs w:val="22"/>
              </w:rPr>
              <w:t>&gt;</w:t>
            </w:r>
          </w:p>
        </w:tc>
      </w:tr>
      <w:tr w:rsidR="004E4AF8">
        <w:trPr>
          <w:trHeight w:val="405"/>
        </w:trPr>
        <w:tc>
          <w:tcPr>
            <w:tcW w:w="1365" w:type="dxa"/>
            <w:shd w:val="clear" w:color="auto" w:fill="F2F2F2"/>
            <w:vAlign w:val="center"/>
          </w:tcPr>
          <w:p w:rsidR="004E4AF8" w:rsidRDefault="00D62302">
            <w:pPr>
              <w:jc w:val="center"/>
              <w:rPr>
                <w:b/>
                <w:color w:val="0F6FC6"/>
                <w:sz w:val="22"/>
                <w:szCs w:val="22"/>
              </w:rPr>
            </w:pPr>
            <w:r>
              <w:rPr>
                <w:b/>
                <w:color w:val="0F6FC6"/>
                <w:sz w:val="22"/>
                <w:szCs w:val="22"/>
              </w:rPr>
              <w:t>N</w:t>
            </w:r>
          </w:p>
        </w:tc>
        <w:tc>
          <w:tcPr>
            <w:tcW w:w="8263" w:type="dxa"/>
            <w:shd w:val="clear" w:color="auto" w:fill="auto"/>
            <w:vAlign w:val="center"/>
          </w:tcPr>
          <w:p w:rsidR="004E4AF8" w:rsidRDefault="00D62302">
            <w:pPr>
              <w:rPr>
                <w:sz w:val="22"/>
                <w:szCs w:val="22"/>
              </w:rPr>
            </w:pPr>
            <w:r>
              <w:rPr>
                <w:sz w:val="22"/>
                <w:szCs w:val="22"/>
              </w:rPr>
              <w:t>&lt;</w:t>
            </w:r>
            <w:r>
              <w:rPr>
                <w:color w:val="0F6FC6"/>
                <w:sz w:val="22"/>
                <w:szCs w:val="22"/>
              </w:rPr>
              <w:t>Ações Para Obtenção do Recurso e Seus Respectivos Responsáveis N</w:t>
            </w:r>
            <w:r>
              <w:rPr>
                <w:sz w:val="22"/>
                <w:szCs w:val="22"/>
              </w:rPr>
              <w:t>&gt;</w:t>
            </w:r>
          </w:p>
        </w:tc>
      </w:tr>
      <w:tr w:rsidR="004E4AF8">
        <w:trPr>
          <w:trHeight w:val="343"/>
        </w:trPr>
        <w:tc>
          <w:tcPr>
            <w:tcW w:w="9628" w:type="dxa"/>
            <w:gridSpan w:val="2"/>
            <w:shd w:val="clear" w:color="auto" w:fill="D9D9D9"/>
            <w:vAlign w:val="center"/>
          </w:tcPr>
          <w:p w:rsidR="004E4AF8" w:rsidRDefault="00D62302">
            <w:pPr>
              <w:jc w:val="left"/>
              <w:rPr>
                <w:b/>
                <w:sz w:val="22"/>
                <w:szCs w:val="22"/>
              </w:rPr>
            </w:pPr>
            <w:r>
              <w:rPr>
                <w:b/>
              </w:rPr>
              <w:t>2.1.2 – Quantidades</w:t>
            </w:r>
          </w:p>
        </w:tc>
      </w:tr>
      <w:tr w:rsidR="004E4AF8">
        <w:trPr>
          <w:trHeight w:val="405"/>
        </w:trPr>
        <w:tc>
          <w:tcPr>
            <w:tcW w:w="1365" w:type="dxa"/>
            <w:shd w:val="clear" w:color="auto" w:fill="F2F2F2"/>
            <w:vAlign w:val="center"/>
          </w:tcPr>
          <w:p w:rsidR="004E4AF8" w:rsidRDefault="00D62302">
            <w:pPr>
              <w:jc w:val="center"/>
              <w:rPr>
                <w:b/>
                <w:sz w:val="22"/>
                <w:szCs w:val="22"/>
              </w:rPr>
            </w:pPr>
            <w:r>
              <w:rPr>
                <w:b/>
                <w:color w:val="2191C9"/>
                <w:sz w:val="22"/>
                <w:szCs w:val="22"/>
              </w:rPr>
              <w:t>1</w:t>
            </w:r>
          </w:p>
        </w:tc>
        <w:tc>
          <w:tcPr>
            <w:tcW w:w="8263" w:type="dxa"/>
            <w:shd w:val="clear" w:color="auto" w:fill="auto"/>
            <w:vAlign w:val="center"/>
          </w:tcPr>
          <w:p w:rsidR="004E4AF8" w:rsidRDefault="00D62302">
            <w:pPr>
              <w:rPr>
                <w:sz w:val="22"/>
                <w:szCs w:val="22"/>
              </w:rPr>
            </w:pPr>
            <w:r>
              <w:rPr>
                <w:sz w:val="22"/>
                <w:szCs w:val="22"/>
              </w:rPr>
              <w:t>&lt;</w:t>
            </w:r>
            <w:r>
              <w:rPr>
                <w:color w:val="0F6FC6"/>
                <w:sz w:val="22"/>
                <w:szCs w:val="22"/>
              </w:rPr>
              <w:t>Descrição da quantidade de recurso 1</w:t>
            </w:r>
            <w:r>
              <w:rPr>
                <w:sz w:val="22"/>
                <w:szCs w:val="22"/>
              </w:rPr>
              <w:t>&gt;</w:t>
            </w:r>
          </w:p>
        </w:tc>
      </w:tr>
      <w:tr w:rsidR="004E4AF8">
        <w:trPr>
          <w:trHeight w:val="405"/>
        </w:trPr>
        <w:tc>
          <w:tcPr>
            <w:tcW w:w="1365" w:type="dxa"/>
            <w:shd w:val="clear" w:color="auto" w:fill="F2F2F2"/>
            <w:vAlign w:val="center"/>
          </w:tcPr>
          <w:p w:rsidR="004E4AF8" w:rsidRDefault="00D62302">
            <w:pPr>
              <w:jc w:val="center"/>
              <w:rPr>
                <w:b/>
                <w:color w:val="2191C9"/>
                <w:sz w:val="22"/>
                <w:szCs w:val="22"/>
              </w:rPr>
            </w:pPr>
            <w:r>
              <w:rPr>
                <w:b/>
                <w:color w:val="2191C9"/>
                <w:sz w:val="22"/>
                <w:szCs w:val="22"/>
              </w:rPr>
              <w:t>N</w:t>
            </w:r>
          </w:p>
        </w:tc>
        <w:tc>
          <w:tcPr>
            <w:tcW w:w="8263" w:type="dxa"/>
            <w:shd w:val="clear" w:color="auto" w:fill="auto"/>
            <w:vAlign w:val="center"/>
          </w:tcPr>
          <w:p w:rsidR="004E4AF8" w:rsidRDefault="00D62302">
            <w:pPr>
              <w:rPr>
                <w:sz w:val="22"/>
                <w:szCs w:val="22"/>
              </w:rPr>
            </w:pPr>
            <w:r>
              <w:rPr>
                <w:sz w:val="22"/>
                <w:szCs w:val="22"/>
              </w:rPr>
              <w:t>&lt;</w:t>
            </w:r>
            <w:r>
              <w:rPr>
                <w:color w:val="0F6FC6"/>
                <w:sz w:val="22"/>
                <w:szCs w:val="22"/>
              </w:rPr>
              <w:t>Descrição da quantidade de recurso N</w:t>
            </w:r>
            <w:r>
              <w:rPr>
                <w:sz w:val="22"/>
                <w:szCs w:val="22"/>
              </w:rPr>
              <w:t>&gt;</w:t>
            </w:r>
          </w:p>
        </w:tc>
      </w:tr>
      <w:tr w:rsidR="004E4AF8">
        <w:trPr>
          <w:trHeight w:val="343"/>
        </w:trPr>
        <w:tc>
          <w:tcPr>
            <w:tcW w:w="9628" w:type="dxa"/>
            <w:gridSpan w:val="2"/>
            <w:shd w:val="clear" w:color="auto" w:fill="D9D9D9"/>
            <w:vAlign w:val="center"/>
          </w:tcPr>
          <w:p w:rsidR="004E4AF8" w:rsidRDefault="00D62302">
            <w:pPr>
              <w:jc w:val="left"/>
              <w:rPr>
                <w:b/>
                <w:sz w:val="22"/>
                <w:szCs w:val="22"/>
              </w:rPr>
            </w:pPr>
            <w:r>
              <w:rPr>
                <w:b/>
              </w:rPr>
              <w:t>2.2 – Recursos Humanos</w:t>
            </w:r>
          </w:p>
        </w:tc>
      </w:tr>
      <w:tr w:rsidR="004E4AF8">
        <w:trPr>
          <w:trHeight w:val="405"/>
        </w:trPr>
        <w:tc>
          <w:tcPr>
            <w:tcW w:w="1365" w:type="dxa"/>
            <w:shd w:val="clear" w:color="auto" w:fill="F2F2F2"/>
            <w:vAlign w:val="center"/>
          </w:tcPr>
          <w:p w:rsidR="004E4AF8" w:rsidRDefault="00D62302">
            <w:pPr>
              <w:jc w:val="center"/>
              <w:rPr>
                <w:b/>
                <w:color w:val="0F6FC6"/>
                <w:sz w:val="22"/>
                <w:szCs w:val="22"/>
              </w:rPr>
            </w:pPr>
            <w:r>
              <w:rPr>
                <w:b/>
                <w:color w:val="0F6FC6"/>
                <w:sz w:val="22"/>
                <w:szCs w:val="22"/>
              </w:rPr>
              <w:t>1</w:t>
            </w:r>
          </w:p>
        </w:tc>
        <w:tc>
          <w:tcPr>
            <w:tcW w:w="8263" w:type="dxa"/>
            <w:shd w:val="clear" w:color="auto" w:fill="auto"/>
            <w:vAlign w:val="center"/>
          </w:tcPr>
          <w:p w:rsidR="004E4AF8" w:rsidRDefault="00D62302">
            <w:pPr>
              <w:rPr>
                <w:sz w:val="22"/>
                <w:szCs w:val="22"/>
              </w:rPr>
            </w:pPr>
            <w:r>
              <w:rPr>
                <w:sz w:val="22"/>
                <w:szCs w:val="22"/>
              </w:rPr>
              <w:t>&lt;</w:t>
            </w:r>
            <w:r>
              <w:rPr>
                <w:color w:val="0F6FC6"/>
                <w:sz w:val="22"/>
                <w:szCs w:val="22"/>
              </w:rPr>
              <w:t>Descrição da necessidade de recurso 1</w:t>
            </w:r>
            <w:r>
              <w:rPr>
                <w:sz w:val="22"/>
                <w:szCs w:val="22"/>
              </w:rPr>
              <w:t>&gt;</w:t>
            </w:r>
          </w:p>
        </w:tc>
      </w:tr>
      <w:tr w:rsidR="004E4AF8">
        <w:trPr>
          <w:trHeight w:val="405"/>
        </w:trPr>
        <w:tc>
          <w:tcPr>
            <w:tcW w:w="1365" w:type="dxa"/>
            <w:shd w:val="clear" w:color="auto" w:fill="F2F2F2"/>
            <w:vAlign w:val="center"/>
          </w:tcPr>
          <w:p w:rsidR="004E4AF8" w:rsidRDefault="00D62302">
            <w:pPr>
              <w:jc w:val="center"/>
              <w:rPr>
                <w:b/>
                <w:color w:val="0F6FC6"/>
                <w:sz w:val="22"/>
                <w:szCs w:val="22"/>
              </w:rPr>
            </w:pPr>
            <w:r>
              <w:rPr>
                <w:b/>
                <w:color w:val="0F6FC6"/>
                <w:sz w:val="22"/>
                <w:szCs w:val="22"/>
              </w:rPr>
              <w:t>N</w:t>
            </w:r>
          </w:p>
        </w:tc>
        <w:tc>
          <w:tcPr>
            <w:tcW w:w="8263" w:type="dxa"/>
            <w:shd w:val="clear" w:color="auto" w:fill="auto"/>
            <w:vAlign w:val="center"/>
          </w:tcPr>
          <w:p w:rsidR="004E4AF8" w:rsidRDefault="00D62302">
            <w:pPr>
              <w:rPr>
                <w:sz w:val="22"/>
                <w:szCs w:val="22"/>
              </w:rPr>
            </w:pPr>
            <w:r>
              <w:rPr>
                <w:sz w:val="22"/>
                <w:szCs w:val="22"/>
              </w:rPr>
              <w:t>&lt;</w:t>
            </w:r>
            <w:r>
              <w:rPr>
                <w:color w:val="0F6FC6"/>
                <w:sz w:val="22"/>
                <w:szCs w:val="22"/>
              </w:rPr>
              <w:t>Descrição da necessidade de recurso N</w:t>
            </w:r>
            <w:r>
              <w:rPr>
                <w:sz w:val="22"/>
                <w:szCs w:val="22"/>
              </w:rPr>
              <w:t>&gt;</w:t>
            </w:r>
          </w:p>
        </w:tc>
      </w:tr>
      <w:tr w:rsidR="004E4AF8">
        <w:trPr>
          <w:trHeight w:val="343"/>
        </w:trPr>
        <w:tc>
          <w:tcPr>
            <w:tcW w:w="9628" w:type="dxa"/>
            <w:gridSpan w:val="2"/>
            <w:shd w:val="clear" w:color="auto" w:fill="D9D9D9"/>
            <w:vAlign w:val="center"/>
          </w:tcPr>
          <w:p w:rsidR="004E4AF8" w:rsidRDefault="00D62302">
            <w:pPr>
              <w:jc w:val="left"/>
              <w:rPr>
                <w:b/>
                <w:sz w:val="22"/>
                <w:szCs w:val="22"/>
              </w:rPr>
            </w:pPr>
            <w:r>
              <w:rPr>
                <w:b/>
              </w:rPr>
              <w:t>2.2.1 – Disponibilidade</w:t>
            </w:r>
          </w:p>
        </w:tc>
      </w:tr>
      <w:tr w:rsidR="004E4AF8">
        <w:trPr>
          <w:trHeight w:val="405"/>
        </w:trPr>
        <w:tc>
          <w:tcPr>
            <w:tcW w:w="1365" w:type="dxa"/>
            <w:shd w:val="clear" w:color="auto" w:fill="F2F2F2"/>
            <w:vAlign w:val="center"/>
          </w:tcPr>
          <w:p w:rsidR="004E4AF8" w:rsidRDefault="00D62302">
            <w:pPr>
              <w:jc w:val="center"/>
              <w:rPr>
                <w:b/>
                <w:color w:val="0F6FC6"/>
                <w:sz w:val="22"/>
                <w:szCs w:val="22"/>
              </w:rPr>
            </w:pPr>
            <w:r>
              <w:rPr>
                <w:b/>
                <w:color w:val="0F6FC6"/>
                <w:sz w:val="22"/>
                <w:szCs w:val="22"/>
              </w:rPr>
              <w:t>1</w:t>
            </w:r>
          </w:p>
        </w:tc>
        <w:tc>
          <w:tcPr>
            <w:tcW w:w="8263" w:type="dxa"/>
            <w:shd w:val="clear" w:color="auto" w:fill="auto"/>
            <w:vAlign w:val="center"/>
          </w:tcPr>
          <w:p w:rsidR="004E4AF8" w:rsidRDefault="00D62302">
            <w:pPr>
              <w:rPr>
                <w:sz w:val="22"/>
                <w:szCs w:val="22"/>
              </w:rPr>
            </w:pPr>
            <w:r>
              <w:rPr>
                <w:sz w:val="22"/>
                <w:szCs w:val="22"/>
              </w:rPr>
              <w:t>&lt;</w:t>
            </w:r>
            <w:r>
              <w:rPr>
                <w:color w:val="0F6FC6"/>
                <w:sz w:val="22"/>
                <w:szCs w:val="22"/>
              </w:rPr>
              <w:t>Ações Para Obtenção do Recurso e Seus Respectivos Responsáveis 1</w:t>
            </w:r>
            <w:r>
              <w:rPr>
                <w:sz w:val="22"/>
                <w:szCs w:val="22"/>
              </w:rPr>
              <w:t>&gt;</w:t>
            </w:r>
          </w:p>
        </w:tc>
      </w:tr>
      <w:tr w:rsidR="004E4AF8">
        <w:trPr>
          <w:trHeight w:val="405"/>
        </w:trPr>
        <w:tc>
          <w:tcPr>
            <w:tcW w:w="1365" w:type="dxa"/>
            <w:shd w:val="clear" w:color="auto" w:fill="F2F2F2"/>
            <w:vAlign w:val="center"/>
          </w:tcPr>
          <w:p w:rsidR="004E4AF8" w:rsidRDefault="00D62302">
            <w:pPr>
              <w:jc w:val="center"/>
              <w:rPr>
                <w:b/>
                <w:color w:val="0F6FC6"/>
                <w:sz w:val="22"/>
                <w:szCs w:val="22"/>
              </w:rPr>
            </w:pPr>
            <w:r>
              <w:rPr>
                <w:b/>
                <w:color w:val="0F6FC6"/>
                <w:sz w:val="22"/>
                <w:szCs w:val="22"/>
              </w:rPr>
              <w:t>N</w:t>
            </w:r>
          </w:p>
        </w:tc>
        <w:tc>
          <w:tcPr>
            <w:tcW w:w="8263" w:type="dxa"/>
            <w:shd w:val="clear" w:color="auto" w:fill="auto"/>
            <w:vAlign w:val="center"/>
          </w:tcPr>
          <w:p w:rsidR="004E4AF8" w:rsidRDefault="00D62302">
            <w:pPr>
              <w:rPr>
                <w:sz w:val="22"/>
                <w:szCs w:val="22"/>
              </w:rPr>
            </w:pPr>
            <w:r>
              <w:rPr>
                <w:sz w:val="22"/>
                <w:szCs w:val="22"/>
              </w:rPr>
              <w:t>&lt;</w:t>
            </w:r>
            <w:r>
              <w:rPr>
                <w:color w:val="0F6FC6"/>
                <w:sz w:val="22"/>
                <w:szCs w:val="22"/>
              </w:rPr>
              <w:t>Ações Para Obtenção do Recurso e Seus Respectivos Responsáveis N</w:t>
            </w:r>
            <w:r>
              <w:rPr>
                <w:sz w:val="22"/>
                <w:szCs w:val="22"/>
              </w:rPr>
              <w:t>&gt;</w:t>
            </w:r>
          </w:p>
        </w:tc>
      </w:tr>
      <w:tr w:rsidR="004E4AF8">
        <w:trPr>
          <w:trHeight w:val="343"/>
        </w:trPr>
        <w:tc>
          <w:tcPr>
            <w:tcW w:w="9628" w:type="dxa"/>
            <w:gridSpan w:val="2"/>
            <w:shd w:val="clear" w:color="auto" w:fill="D9D9D9"/>
            <w:vAlign w:val="center"/>
          </w:tcPr>
          <w:p w:rsidR="004E4AF8" w:rsidRDefault="00D62302">
            <w:pPr>
              <w:jc w:val="left"/>
              <w:rPr>
                <w:b/>
                <w:sz w:val="22"/>
                <w:szCs w:val="22"/>
              </w:rPr>
            </w:pPr>
            <w:r>
              <w:rPr>
                <w:b/>
              </w:rPr>
              <w:t>2.2.2 – Quantidades/Competências</w:t>
            </w:r>
          </w:p>
        </w:tc>
      </w:tr>
      <w:tr w:rsidR="004E4AF8">
        <w:trPr>
          <w:trHeight w:val="405"/>
        </w:trPr>
        <w:tc>
          <w:tcPr>
            <w:tcW w:w="1365" w:type="dxa"/>
            <w:shd w:val="clear" w:color="auto" w:fill="F2F2F2"/>
            <w:vAlign w:val="center"/>
          </w:tcPr>
          <w:p w:rsidR="004E4AF8" w:rsidRDefault="00D62302">
            <w:pPr>
              <w:jc w:val="center"/>
              <w:rPr>
                <w:b/>
                <w:color w:val="0F6FC6"/>
                <w:sz w:val="22"/>
                <w:szCs w:val="22"/>
              </w:rPr>
            </w:pPr>
            <w:r>
              <w:rPr>
                <w:b/>
                <w:color w:val="0F6FC6"/>
                <w:sz w:val="22"/>
                <w:szCs w:val="22"/>
              </w:rPr>
              <w:t>1</w:t>
            </w:r>
          </w:p>
        </w:tc>
        <w:tc>
          <w:tcPr>
            <w:tcW w:w="8263" w:type="dxa"/>
            <w:shd w:val="clear" w:color="auto" w:fill="auto"/>
            <w:vAlign w:val="center"/>
          </w:tcPr>
          <w:p w:rsidR="004E4AF8" w:rsidRDefault="00D62302">
            <w:pPr>
              <w:rPr>
                <w:sz w:val="22"/>
                <w:szCs w:val="22"/>
              </w:rPr>
            </w:pPr>
            <w:r>
              <w:rPr>
                <w:sz w:val="22"/>
                <w:szCs w:val="22"/>
              </w:rPr>
              <w:t>&lt;</w:t>
            </w:r>
            <w:r>
              <w:rPr>
                <w:color w:val="0F6FC6"/>
                <w:sz w:val="22"/>
                <w:szCs w:val="22"/>
              </w:rPr>
              <w:t>Descrição da quantidade/competência de recurso 1</w:t>
            </w:r>
            <w:r>
              <w:rPr>
                <w:sz w:val="22"/>
                <w:szCs w:val="22"/>
              </w:rPr>
              <w:t>&gt;</w:t>
            </w:r>
          </w:p>
        </w:tc>
      </w:tr>
      <w:tr w:rsidR="004E4AF8">
        <w:trPr>
          <w:trHeight w:val="405"/>
        </w:trPr>
        <w:tc>
          <w:tcPr>
            <w:tcW w:w="1365" w:type="dxa"/>
            <w:shd w:val="clear" w:color="auto" w:fill="F2F2F2"/>
            <w:vAlign w:val="center"/>
          </w:tcPr>
          <w:p w:rsidR="004E4AF8" w:rsidRDefault="00D62302">
            <w:pPr>
              <w:jc w:val="center"/>
              <w:rPr>
                <w:b/>
                <w:color w:val="0F6FC6"/>
                <w:sz w:val="22"/>
                <w:szCs w:val="22"/>
              </w:rPr>
            </w:pPr>
            <w:r>
              <w:rPr>
                <w:b/>
                <w:color w:val="0F6FC6"/>
                <w:sz w:val="22"/>
                <w:szCs w:val="22"/>
              </w:rPr>
              <w:t>N</w:t>
            </w:r>
          </w:p>
        </w:tc>
        <w:tc>
          <w:tcPr>
            <w:tcW w:w="8263" w:type="dxa"/>
            <w:shd w:val="clear" w:color="auto" w:fill="auto"/>
            <w:vAlign w:val="center"/>
          </w:tcPr>
          <w:p w:rsidR="004E4AF8" w:rsidRDefault="00D62302">
            <w:pPr>
              <w:rPr>
                <w:sz w:val="22"/>
                <w:szCs w:val="22"/>
              </w:rPr>
            </w:pPr>
            <w:r>
              <w:rPr>
                <w:sz w:val="22"/>
                <w:szCs w:val="22"/>
              </w:rPr>
              <w:t>&lt;</w:t>
            </w:r>
            <w:r>
              <w:rPr>
                <w:color w:val="0F6FC6"/>
                <w:sz w:val="22"/>
                <w:szCs w:val="22"/>
              </w:rPr>
              <w:t>Descrição da quantidade/competência de recurso N</w:t>
            </w:r>
            <w:r>
              <w:rPr>
                <w:sz w:val="22"/>
                <w:szCs w:val="22"/>
              </w:rPr>
              <w:t>&gt;</w:t>
            </w:r>
          </w:p>
        </w:tc>
      </w:tr>
    </w:tbl>
    <w:p w:rsidR="004E4AF8" w:rsidRDefault="004E4AF8">
      <w:pPr>
        <w:spacing w:after="0" w:line="240" w:lineRule="auto"/>
        <w:jc w:val="left"/>
        <w:rPr>
          <w:sz w:val="16"/>
          <w:szCs w:val="16"/>
        </w:rPr>
      </w:pPr>
    </w:p>
    <w:tbl>
      <w:tblPr>
        <w:tblStyle w:val="afffffffffffffffffffc"/>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1365"/>
        <w:gridCol w:w="8263"/>
      </w:tblGrid>
      <w:tr w:rsidR="004E4AF8">
        <w:tc>
          <w:tcPr>
            <w:tcW w:w="9628" w:type="dxa"/>
            <w:gridSpan w:val="2"/>
            <w:tcBorders>
              <w:bottom w:val="single" w:sz="4" w:space="0" w:color="000000"/>
            </w:tcBorders>
            <w:shd w:val="clear" w:color="auto" w:fill="BFBFBF"/>
          </w:tcPr>
          <w:p w:rsidR="004E4AF8" w:rsidRDefault="00D62302">
            <w:pPr>
              <w:spacing w:line="259" w:lineRule="auto"/>
              <w:rPr>
                <w:b/>
              </w:rPr>
            </w:pPr>
            <w:r>
              <w:rPr>
                <w:b/>
              </w:rPr>
              <w:t>3 – ESTRATÉGIA DE CONTINUIDADE CONTRATUAL</w:t>
            </w:r>
          </w:p>
        </w:tc>
      </w:tr>
      <w:tr w:rsidR="004E4AF8">
        <w:trPr>
          <w:trHeight w:val="375"/>
        </w:trPr>
        <w:tc>
          <w:tcPr>
            <w:tcW w:w="9628" w:type="dxa"/>
            <w:gridSpan w:val="2"/>
            <w:shd w:val="clear" w:color="auto" w:fill="auto"/>
          </w:tcPr>
          <w:p w:rsidR="004E4AF8" w:rsidRDefault="00D62302">
            <w:pPr>
              <w:rPr>
                <w:sz w:val="20"/>
                <w:szCs w:val="20"/>
              </w:rPr>
            </w:pPr>
            <w:r>
              <w:rPr>
                <w:sz w:val="20"/>
                <w:szCs w:val="20"/>
              </w:rPr>
              <w:t>&lt;</w:t>
            </w:r>
            <w:r>
              <w:rPr>
                <w:color w:val="0F6FC6"/>
                <w:sz w:val="20"/>
                <w:szCs w:val="20"/>
              </w:rPr>
              <w:t>A equipe de Planejamento da Contratação define a estratégia da continuidade do fornecimento da Solução de Tecnologia da Informação e Comunicação em eventual</w:t>
            </w:r>
            <w:r>
              <w:rPr>
                <w:color w:val="0F6FC6"/>
                <w:sz w:val="20"/>
                <w:szCs w:val="20"/>
              </w:rPr>
              <w:br/>
            </w:r>
            <w:r>
              <w:rPr>
                <w:color w:val="0F6FC6"/>
                <w:sz w:val="20"/>
                <w:szCs w:val="20"/>
              </w:rPr>
              <w:t>interrupção contratual</w:t>
            </w:r>
            <w:r>
              <w:rPr>
                <w:sz w:val="20"/>
                <w:szCs w:val="20"/>
              </w:rPr>
              <w:t>&gt;</w:t>
            </w:r>
          </w:p>
        </w:tc>
      </w:tr>
      <w:tr w:rsidR="004E4AF8">
        <w:trPr>
          <w:trHeight w:val="348"/>
        </w:trPr>
        <w:tc>
          <w:tcPr>
            <w:tcW w:w="9628" w:type="dxa"/>
            <w:gridSpan w:val="2"/>
            <w:shd w:val="clear" w:color="auto" w:fill="D9D9D9"/>
          </w:tcPr>
          <w:p w:rsidR="004E4AF8" w:rsidRDefault="00D62302">
            <w:pPr>
              <w:rPr>
                <w:sz w:val="22"/>
                <w:szCs w:val="22"/>
              </w:rPr>
            </w:pPr>
            <w:r>
              <w:rPr>
                <w:b/>
              </w:rPr>
              <w:t>3.1 – Ações de Continuidade, seus respectivos responsáveis e prazos</w:t>
            </w:r>
          </w:p>
        </w:tc>
      </w:tr>
      <w:tr w:rsidR="004E4AF8">
        <w:trPr>
          <w:trHeight w:val="268"/>
        </w:trPr>
        <w:tc>
          <w:tcPr>
            <w:tcW w:w="1365" w:type="dxa"/>
            <w:shd w:val="clear" w:color="auto" w:fill="F2F2F2"/>
            <w:vAlign w:val="center"/>
          </w:tcPr>
          <w:p w:rsidR="004E4AF8" w:rsidRDefault="00D62302">
            <w:pPr>
              <w:jc w:val="center"/>
              <w:rPr>
                <w:b/>
                <w:color w:val="0F6FC6"/>
                <w:sz w:val="22"/>
                <w:szCs w:val="22"/>
              </w:rPr>
            </w:pPr>
            <w:r>
              <w:rPr>
                <w:b/>
                <w:color w:val="0F6FC6"/>
                <w:sz w:val="22"/>
                <w:szCs w:val="22"/>
              </w:rPr>
              <w:t>1</w:t>
            </w:r>
          </w:p>
        </w:tc>
        <w:tc>
          <w:tcPr>
            <w:tcW w:w="8263" w:type="dxa"/>
            <w:shd w:val="clear" w:color="auto" w:fill="auto"/>
            <w:vAlign w:val="center"/>
          </w:tcPr>
          <w:p w:rsidR="004E4AF8" w:rsidRDefault="00D62302">
            <w:pPr>
              <w:rPr>
                <w:sz w:val="22"/>
                <w:szCs w:val="22"/>
              </w:rPr>
            </w:pPr>
            <w:r>
              <w:rPr>
                <w:sz w:val="22"/>
                <w:szCs w:val="22"/>
              </w:rPr>
              <w:t>&lt;</w:t>
            </w:r>
            <w:r>
              <w:rPr>
                <w:color w:val="0F6FC6"/>
                <w:sz w:val="22"/>
                <w:szCs w:val="22"/>
              </w:rPr>
              <w:t>Descrição da ação de continuidade 1</w:t>
            </w:r>
            <w:r>
              <w:rPr>
                <w:sz w:val="22"/>
                <w:szCs w:val="22"/>
              </w:rPr>
              <w:t>&gt;</w:t>
            </w:r>
          </w:p>
        </w:tc>
      </w:tr>
      <w:tr w:rsidR="004E4AF8">
        <w:trPr>
          <w:trHeight w:val="268"/>
        </w:trPr>
        <w:tc>
          <w:tcPr>
            <w:tcW w:w="1365" w:type="dxa"/>
            <w:shd w:val="clear" w:color="auto" w:fill="F2F2F2"/>
          </w:tcPr>
          <w:p w:rsidR="004E4AF8" w:rsidRDefault="00D62302">
            <w:pPr>
              <w:jc w:val="center"/>
              <w:rPr>
                <w:b/>
                <w:color w:val="0F6FC6"/>
                <w:sz w:val="22"/>
                <w:szCs w:val="22"/>
              </w:rPr>
            </w:pPr>
            <w:r>
              <w:rPr>
                <w:b/>
                <w:color w:val="0F6FC6"/>
                <w:sz w:val="22"/>
                <w:szCs w:val="22"/>
              </w:rPr>
              <w:t>N</w:t>
            </w:r>
          </w:p>
        </w:tc>
        <w:tc>
          <w:tcPr>
            <w:tcW w:w="8263" w:type="dxa"/>
          </w:tcPr>
          <w:p w:rsidR="004E4AF8" w:rsidRDefault="00D62302">
            <w:pPr>
              <w:rPr>
                <w:sz w:val="22"/>
                <w:szCs w:val="22"/>
              </w:rPr>
            </w:pPr>
            <w:r>
              <w:rPr>
                <w:sz w:val="22"/>
                <w:szCs w:val="22"/>
              </w:rPr>
              <w:t>&lt;</w:t>
            </w:r>
            <w:r>
              <w:rPr>
                <w:color w:val="0F6FC6"/>
                <w:sz w:val="22"/>
                <w:szCs w:val="22"/>
              </w:rPr>
              <w:t>Descrição da ação de continuidade N</w:t>
            </w:r>
            <w:r>
              <w:rPr>
                <w:sz w:val="22"/>
                <w:szCs w:val="22"/>
              </w:rPr>
              <w:t>&gt;</w:t>
            </w:r>
          </w:p>
        </w:tc>
      </w:tr>
    </w:tbl>
    <w:p w:rsidR="004E4AF8" w:rsidRDefault="004E4AF8">
      <w:pPr>
        <w:spacing w:after="0" w:line="240" w:lineRule="auto"/>
        <w:jc w:val="left"/>
      </w:pPr>
    </w:p>
    <w:tbl>
      <w:tblPr>
        <w:tblStyle w:val="afffffffffffffffffffd"/>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1271"/>
        <w:gridCol w:w="8357"/>
      </w:tblGrid>
      <w:tr w:rsidR="004E4AF8">
        <w:tc>
          <w:tcPr>
            <w:tcW w:w="9628" w:type="dxa"/>
            <w:gridSpan w:val="2"/>
            <w:tcBorders>
              <w:bottom w:val="single" w:sz="4" w:space="0" w:color="000000"/>
            </w:tcBorders>
            <w:shd w:val="clear" w:color="auto" w:fill="BFBFBF"/>
          </w:tcPr>
          <w:p w:rsidR="004E4AF8" w:rsidRDefault="00D62302">
            <w:pPr>
              <w:spacing w:line="259" w:lineRule="auto"/>
              <w:rPr>
                <w:b/>
              </w:rPr>
            </w:pPr>
            <w:r>
              <w:rPr>
                <w:b/>
              </w:rPr>
              <w:t>4 – ESTRATÉGIA DE TRANSIÇÃO CONTRATUAL</w:t>
            </w:r>
          </w:p>
        </w:tc>
      </w:tr>
      <w:tr w:rsidR="004E4AF8">
        <w:trPr>
          <w:trHeight w:val="375"/>
        </w:trPr>
        <w:tc>
          <w:tcPr>
            <w:tcW w:w="9628" w:type="dxa"/>
            <w:gridSpan w:val="2"/>
            <w:shd w:val="clear" w:color="auto" w:fill="auto"/>
          </w:tcPr>
          <w:p w:rsidR="004E4AF8" w:rsidRDefault="00D62302">
            <w:pPr>
              <w:rPr>
                <w:color w:val="0F6FC6"/>
                <w:sz w:val="22"/>
                <w:szCs w:val="22"/>
              </w:rPr>
            </w:pPr>
            <w:r>
              <w:rPr>
                <w:sz w:val="22"/>
                <w:szCs w:val="22"/>
              </w:rPr>
              <w:t>&lt;</w:t>
            </w:r>
            <w:r>
              <w:rPr>
                <w:color w:val="0F6FC6"/>
                <w:sz w:val="22"/>
                <w:szCs w:val="22"/>
              </w:rPr>
              <w:t>As atividades de transição contratual e de encerramento do contrato são definidas pela Equipe de Planejamento da Contratação e incluem, no mínimo:</w:t>
            </w:r>
          </w:p>
          <w:p w:rsidR="004E4AF8" w:rsidRDefault="00D62302">
            <w:pPr>
              <w:rPr>
                <w:color w:val="0F6FC6"/>
                <w:sz w:val="22"/>
                <w:szCs w:val="22"/>
              </w:rPr>
            </w:pPr>
            <w:r>
              <w:rPr>
                <w:color w:val="0F6FC6"/>
                <w:sz w:val="22"/>
                <w:szCs w:val="22"/>
              </w:rPr>
              <w:t>- Entrega de versões finais dos produtos alvos da contratação;</w:t>
            </w:r>
          </w:p>
          <w:p w:rsidR="004E4AF8" w:rsidRDefault="00D62302">
            <w:pPr>
              <w:rPr>
                <w:color w:val="0F6FC6"/>
                <w:sz w:val="22"/>
                <w:szCs w:val="22"/>
              </w:rPr>
            </w:pPr>
            <w:r>
              <w:rPr>
                <w:color w:val="0F6FC6"/>
                <w:sz w:val="22"/>
                <w:szCs w:val="22"/>
              </w:rPr>
              <w:t>- Transferência final de conhecimentos sobre a</w:t>
            </w:r>
            <w:r>
              <w:rPr>
                <w:color w:val="0F6FC6"/>
                <w:sz w:val="22"/>
                <w:szCs w:val="22"/>
              </w:rPr>
              <w:t xml:space="preserve"> execução e a manutenção da Solução de Tecnologia da - Informação e Comunicação;</w:t>
            </w:r>
            <w:r>
              <w:rPr>
                <w:color w:val="0F6FC6"/>
                <w:sz w:val="22"/>
                <w:szCs w:val="22"/>
              </w:rPr>
              <w:tab/>
            </w:r>
            <w:r>
              <w:rPr>
                <w:color w:val="0F6FC6"/>
                <w:sz w:val="22"/>
                <w:szCs w:val="22"/>
              </w:rPr>
              <w:tab/>
            </w:r>
            <w:r>
              <w:rPr>
                <w:color w:val="0F6FC6"/>
                <w:sz w:val="22"/>
                <w:szCs w:val="22"/>
              </w:rPr>
              <w:tab/>
              <w:t>- Devolução de recursos materiais;</w:t>
            </w:r>
          </w:p>
          <w:p w:rsidR="004E4AF8" w:rsidRDefault="00D62302">
            <w:pPr>
              <w:rPr>
                <w:sz w:val="22"/>
                <w:szCs w:val="22"/>
              </w:rPr>
            </w:pPr>
            <w:r>
              <w:rPr>
                <w:color w:val="0F6FC6"/>
                <w:sz w:val="22"/>
                <w:szCs w:val="22"/>
              </w:rPr>
              <w:t>- Revogação de perfis de acesso;</w:t>
            </w:r>
            <w:r>
              <w:rPr>
                <w:color w:val="0F6FC6"/>
                <w:sz w:val="22"/>
                <w:szCs w:val="22"/>
              </w:rPr>
              <w:tab/>
            </w:r>
            <w:r>
              <w:rPr>
                <w:color w:val="0F6FC6"/>
                <w:sz w:val="22"/>
                <w:szCs w:val="22"/>
              </w:rPr>
              <w:tab/>
              <w:t>- Eliminação de caixas postais.</w:t>
            </w:r>
            <w:r>
              <w:rPr>
                <w:sz w:val="22"/>
                <w:szCs w:val="22"/>
              </w:rPr>
              <w:t>&gt;</w:t>
            </w:r>
          </w:p>
        </w:tc>
      </w:tr>
      <w:tr w:rsidR="004E4AF8">
        <w:trPr>
          <w:trHeight w:val="375"/>
        </w:trPr>
        <w:tc>
          <w:tcPr>
            <w:tcW w:w="9628" w:type="dxa"/>
            <w:gridSpan w:val="2"/>
            <w:shd w:val="clear" w:color="auto" w:fill="D9D9D9"/>
            <w:vAlign w:val="center"/>
          </w:tcPr>
          <w:p w:rsidR="004E4AF8" w:rsidRDefault="00D62302">
            <w:pPr>
              <w:jc w:val="left"/>
              <w:rPr>
                <w:b/>
                <w:sz w:val="22"/>
                <w:szCs w:val="22"/>
              </w:rPr>
            </w:pPr>
            <w:r>
              <w:rPr>
                <w:b/>
                <w:sz w:val="22"/>
                <w:szCs w:val="22"/>
              </w:rPr>
              <w:t>4.1 – Ações de Transição Contratual, seus respectivos responsáveis e prazos</w:t>
            </w:r>
          </w:p>
        </w:tc>
      </w:tr>
      <w:tr w:rsidR="004E4AF8">
        <w:trPr>
          <w:trHeight w:val="375"/>
        </w:trPr>
        <w:tc>
          <w:tcPr>
            <w:tcW w:w="1271" w:type="dxa"/>
            <w:shd w:val="clear" w:color="auto" w:fill="F2F2F2"/>
            <w:vAlign w:val="center"/>
          </w:tcPr>
          <w:p w:rsidR="004E4AF8" w:rsidRDefault="00D62302">
            <w:pPr>
              <w:jc w:val="center"/>
              <w:rPr>
                <w:b/>
                <w:color w:val="0F6FC6"/>
                <w:sz w:val="22"/>
                <w:szCs w:val="22"/>
              </w:rPr>
            </w:pPr>
            <w:r>
              <w:rPr>
                <w:b/>
                <w:color w:val="0F6FC6"/>
                <w:sz w:val="22"/>
                <w:szCs w:val="22"/>
              </w:rPr>
              <w:t>1</w:t>
            </w:r>
          </w:p>
        </w:tc>
        <w:tc>
          <w:tcPr>
            <w:tcW w:w="8357" w:type="dxa"/>
            <w:shd w:val="clear" w:color="auto" w:fill="FFFFFF"/>
            <w:vAlign w:val="center"/>
          </w:tcPr>
          <w:p w:rsidR="004E4AF8" w:rsidRDefault="00D62302">
            <w:pPr>
              <w:jc w:val="left"/>
              <w:rPr>
                <w:sz w:val="22"/>
                <w:szCs w:val="22"/>
              </w:rPr>
            </w:pPr>
            <w:r>
              <w:rPr>
                <w:sz w:val="22"/>
                <w:szCs w:val="22"/>
              </w:rPr>
              <w:t>&lt;</w:t>
            </w:r>
            <w:r>
              <w:rPr>
                <w:color w:val="0F6FC6"/>
                <w:sz w:val="22"/>
                <w:szCs w:val="22"/>
              </w:rPr>
              <w:t>Descrição da ação de transição 1</w:t>
            </w:r>
            <w:r>
              <w:rPr>
                <w:sz w:val="22"/>
                <w:szCs w:val="22"/>
              </w:rPr>
              <w:t>&gt;</w:t>
            </w:r>
          </w:p>
        </w:tc>
      </w:tr>
      <w:tr w:rsidR="004E4AF8">
        <w:trPr>
          <w:trHeight w:val="375"/>
        </w:trPr>
        <w:tc>
          <w:tcPr>
            <w:tcW w:w="1271" w:type="dxa"/>
            <w:shd w:val="clear" w:color="auto" w:fill="F2F2F2"/>
            <w:vAlign w:val="center"/>
          </w:tcPr>
          <w:p w:rsidR="004E4AF8" w:rsidRDefault="00D62302">
            <w:pPr>
              <w:jc w:val="center"/>
              <w:rPr>
                <w:b/>
                <w:color w:val="0F6FC6"/>
                <w:sz w:val="22"/>
                <w:szCs w:val="22"/>
              </w:rPr>
            </w:pPr>
            <w:r>
              <w:rPr>
                <w:b/>
                <w:color w:val="0F6FC6"/>
                <w:sz w:val="22"/>
                <w:szCs w:val="22"/>
              </w:rPr>
              <w:t>N</w:t>
            </w:r>
          </w:p>
        </w:tc>
        <w:tc>
          <w:tcPr>
            <w:tcW w:w="8357" w:type="dxa"/>
            <w:shd w:val="clear" w:color="auto" w:fill="FFFFFF"/>
            <w:vAlign w:val="center"/>
          </w:tcPr>
          <w:p w:rsidR="004E4AF8" w:rsidRDefault="00D62302">
            <w:pPr>
              <w:jc w:val="left"/>
              <w:rPr>
                <w:sz w:val="22"/>
                <w:szCs w:val="22"/>
              </w:rPr>
            </w:pPr>
            <w:r>
              <w:rPr>
                <w:sz w:val="22"/>
                <w:szCs w:val="22"/>
              </w:rPr>
              <w:t>&lt;</w:t>
            </w:r>
            <w:r>
              <w:rPr>
                <w:color w:val="0F6FC6"/>
                <w:sz w:val="22"/>
                <w:szCs w:val="22"/>
              </w:rPr>
              <w:t>Descrição da ação de transição N</w:t>
            </w:r>
            <w:r>
              <w:rPr>
                <w:sz w:val="22"/>
                <w:szCs w:val="22"/>
              </w:rPr>
              <w:t>&gt;</w:t>
            </w:r>
          </w:p>
        </w:tc>
      </w:tr>
    </w:tbl>
    <w:p w:rsidR="004E4AF8" w:rsidRDefault="004E4AF8">
      <w:pPr>
        <w:spacing w:after="0" w:line="240" w:lineRule="auto"/>
        <w:jc w:val="left"/>
      </w:pPr>
    </w:p>
    <w:tbl>
      <w:tblPr>
        <w:tblStyle w:val="afffffffffffffffffffe"/>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1271"/>
        <w:gridCol w:w="8357"/>
      </w:tblGrid>
      <w:tr w:rsidR="004E4AF8">
        <w:tc>
          <w:tcPr>
            <w:tcW w:w="9628" w:type="dxa"/>
            <w:gridSpan w:val="2"/>
            <w:tcBorders>
              <w:bottom w:val="single" w:sz="4" w:space="0" w:color="000000"/>
            </w:tcBorders>
            <w:shd w:val="clear" w:color="auto" w:fill="BFBFBF"/>
          </w:tcPr>
          <w:p w:rsidR="004E4AF8" w:rsidRDefault="00D62302">
            <w:pPr>
              <w:spacing w:line="259" w:lineRule="auto"/>
              <w:rPr>
                <w:b/>
              </w:rPr>
            </w:pPr>
            <w:r>
              <w:rPr>
                <w:b/>
              </w:rPr>
              <w:t>5 – ESTRATÉGIA DE INDEPENDÊNCIA</w:t>
            </w:r>
          </w:p>
        </w:tc>
      </w:tr>
      <w:tr w:rsidR="004E4AF8">
        <w:trPr>
          <w:trHeight w:val="375"/>
        </w:trPr>
        <w:tc>
          <w:tcPr>
            <w:tcW w:w="9628" w:type="dxa"/>
            <w:gridSpan w:val="2"/>
            <w:shd w:val="clear" w:color="auto" w:fill="auto"/>
          </w:tcPr>
          <w:p w:rsidR="004E4AF8" w:rsidRDefault="00D62302">
            <w:pPr>
              <w:rPr>
                <w:color w:val="0F6FC6"/>
                <w:sz w:val="22"/>
                <w:szCs w:val="22"/>
              </w:rPr>
            </w:pPr>
            <w:r>
              <w:rPr>
                <w:sz w:val="22"/>
                <w:szCs w:val="22"/>
              </w:rPr>
              <w:t>&lt;</w:t>
            </w:r>
            <w:r>
              <w:rPr>
                <w:color w:val="0F6FC6"/>
                <w:sz w:val="22"/>
                <w:szCs w:val="22"/>
              </w:rPr>
              <w:t>As regras para estratégia de independência do órgão com relação à empresa contratada são elaboradas pelos Integrantes Demandante e Técnico e contemplem, no mínimo:</w:t>
            </w:r>
          </w:p>
          <w:p w:rsidR="004E4AF8" w:rsidRDefault="00D62302">
            <w:pPr>
              <w:rPr>
                <w:color w:val="0F6FC6"/>
                <w:sz w:val="22"/>
                <w:szCs w:val="22"/>
              </w:rPr>
            </w:pPr>
            <w:r>
              <w:rPr>
                <w:color w:val="0F6FC6"/>
                <w:sz w:val="22"/>
                <w:szCs w:val="22"/>
              </w:rPr>
              <w:t>- A forma de transferência de conhecimento tecnológico nos casos de contratação de desenvolv</w:t>
            </w:r>
            <w:r>
              <w:rPr>
                <w:color w:val="0F6FC6"/>
                <w:sz w:val="22"/>
                <w:szCs w:val="22"/>
              </w:rPr>
              <w:t>imento de softwares sob encomenda no mercado de TIC.</w:t>
            </w:r>
          </w:p>
          <w:p w:rsidR="004E4AF8" w:rsidRDefault="00D62302">
            <w:pPr>
              <w:rPr>
                <w:sz w:val="22"/>
                <w:szCs w:val="22"/>
              </w:rPr>
            </w:pPr>
            <w:r>
              <w:rPr>
                <w:color w:val="0F6FC6"/>
                <w:sz w:val="22"/>
                <w:szCs w:val="22"/>
              </w:rPr>
              <w:t>Os direitos de propriedade intelectual e autorais da Solução de Tecnologia da Informação e Comunicação, inclusive sobre os diversos produtos gerados ao longo do contrato, tais como a documentação, os mod</w:t>
            </w:r>
            <w:r>
              <w:rPr>
                <w:color w:val="0F6FC6"/>
                <w:sz w:val="22"/>
                <w:szCs w:val="22"/>
              </w:rPr>
              <w:t>elos de dados e as bases de dados, justificando os casos em que tais direitos são exclusivos da empresa contratada.</w:t>
            </w:r>
            <w:r>
              <w:rPr>
                <w:sz w:val="22"/>
                <w:szCs w:val="22"/>
              </w:rPr>
              <w:t>&gt;</w:t>
            </w:r>
          </w:p>
        </w:tc>
      </w:tr>
      <w:tr w:rsidR="004E4AF8">
        <w:trPr>
          <w:trHeight w:val="375"/>
        </w:trPr>
        <w:tc>
          <w:tcPr>
            <w:tcW w:w="9628" w:type="dxa"/>
            <w:gridSpan w:val="2"/>
            <w:shd w:val="clear" w:color="auto" w:fill="D9D9D9"/>
            <w:vAlign w:val="center"/>
          </w:tcPr>
          <w:p w:rsidR="004E4AF8" w:rsidRDefault="00D62302">
            <w:pPr>
              <w:jc w:val="left"/>
              <w:rPr>
                <w:b/>
                <w:sz w:val="22"/>
                <w:szCs w:val="22"/>
              </w:rPr>
            </w:pPr>
            <w:r>
              <w:rPr>
                <w:b/>
                <w:sz w:val="22"/>
                <w:szCs w:val="22"/>
              </w:rPr>
              <w:t>5.1 – Transferência de Conhecimento</w:t>
            </w:r>
          </w:p>
        </w:tc>
      </w:tr>
      <w:tr w:rsidR="004E4AF8">
        <w:trPr>
          <w:trHeight w:val="375"/>
        </w:trPr>
        <w:tc>
          <w:tcPr>
            <w:tcW w:w="1271" w:type="dxa"/>
            <w:shd w:val="clear" w:color="auto" w:fill="F2F2F2"/>
            <w:vAlign w:val="center"/>
          </w:tcPr>
          <w:p w:rsidR="004E4AF8" w:rsidRDefault="00D62302">
            <w:pPr>
              <w:jc w:val="center"/>
              <w:rPr>
                <w:b/>
                <w:color w:val="2191C9"/>
                <w:sz w:val="22"/>
                <w:szCs w:val="22"/>
              </w:rPr>
            </w:pPr>
            <w:r>
              <w:rPr>
                <w:b/>
                <w:color w:val="0F6FC6"/>
                <w:sz w:val="22"/>
                <w:szCs w:val="22"/>
              </w:rPr>
              <w:t>N</w:t>
            </w:r>
          </w:p>
        </w:tc>
        <w:tc>
          <w:tcPr>
            <w:tcW w:w="8357" w:type="dxa"/>
            <w:shd w:val="clear" w:color="auto" w:fill="FFFFFF"/>
            <w:vAlign w:val="center"/>
          </w:tcPr>
          <w:p w:rsidR="004E4AF8" w:rsidRDefault="00D62302">
            <w:pPr>
              <w:jc w:val="left"/>
              <w:rPr>
                <w:sz w:val="22"/>
                <w:szCs w:val="22"/>
              </w:rPr>
            </w:pPr>
            <w:r>
              <w:rPr>
                <w:sz w:val="22"/>
                <w:szCs w:val="22"/>
              </w:rPr>
              <w:t>&lt;</w:t>
            </w:r>
            <w:r>
              <w:rPr>
                <w:color w:val="0F6FC6"/>
                <w:sz w:val="22"/>
                <w:szCs w:val="22"/>
              </w:rPr>
              <w:t>Item a ser transferido, data, forma N</w:t>
            </w:r>
            <w:r>
              <w:rPr>
                <w:sz w:val="22"/>
                <w:szCs w:val="22"/>
              </w:rPr>
              <w:t>&gt;</w:t>
            </w:r>
          </w:p>
        </w:tc>
      </w:tr>
      <w:tr w:rsidR="004E4AF8">
        <w:trPr>
          <w:trHeight w:val="375"/>
        </w:trPr>
        <w:tc>
          <w:tcPr>
            <w:tcW w:w="9628" w:type="dxa"/>
            <w:gridSpan w:val="2"/>
            <w:shd w:val="clear" w:color="auto" w:fill="D9D9D9"/>
            <w:vAlign w:val="center"/>
          </w:tcPr>
          <w:p w:rsidR="004E4AF8" w:rsidRDefault="00D62302">
            <w:pPr>
              <w:jc w:val="left"/>
              <w:rPr>
                <w:b/>
                <w:sz w:val="22"/>
                <w:szCs w:val="22"/>
              </w:rPr>
            </w:pPr>
            <w:r>
              <w:rPr>
                <w:b/>
                <w:sz w:val="22"/>
                <w:szCs w:val="22"/>
              </w:rPr>
              <w:t>5.2 – Direitos de Propriedade Intelectual</w:t>
            </w:r>
          </w:p>
        </w:tc>
      </w:tr>
      <w:tr w:rsidR="004E4AF8">
        <w:trPr>
          <w:trHeight w:val="375"/>
        </w:trPr>
        <w:tc>
          <w:tcPr>
            <w:tcW w:w="1271" w:type="dxa"/>
            <w:shd w:val="clear" w:color="auto" w:fill="F2F2F2"/>
            <w:vAlign w:val="center"/>
          </w:tcPr>
          <w:p w:rsidR="004E4AF8" w:rsidRDefault="00D62302">
            <w:pPr>
              <w:jc w:val="center"/>
              <w:rPr>
                <w:b/>
                <w:color w:val="2191C9"/>
                <w:sz w:val="22"/>
                <w:szCs w:val="22"/>
              </w:rPr>
            </w:pPr>
            <w:r>
              <w:rPr>
                <w:b/>
                <w:color w:val="0F6FC6"/>
                <w:sz w:val="22"/>
                <w:szCs w:val="22"/>
              </w:rPr>
              <w:t>N</w:t>
            </w:r>
          </w:p>
        </w:tc>
        <w:tc>
          <w:tcPr>
            <w:tcW w:w="8357" w:type="dxa"/>
            <w:shd w:val="clear" w:color="auto" w:fill="FFFFFF"/>
            <w:vAlign w:val="center"/>
          </w:tcPr>
          <w:p w:rsidR="004E4AF8" w:rsidRDefault="00D62302">
            <w:pPr>
              <w:jc w:val="left"/>
              <w:rPr>
                <w:sz w:val="22"/>
                <w:szCs w:val="22"/>
              </w:rPr>
            </w:pPr>
            <w:r>
              <w:rPr>
                <w:sz w:val="22"/>
                <w:szCs w:val="22"/>
              </w:rPr>
              <w:t>&lt;</w:t>
            </w:r>
            <w:r>
              <w:rPr>
                <w:color w:val="0F6FC6"/>
                <w:sz w:val="22"/>
                <w:szCs w:val="22"/>
              </w:rPr>
              <w:t>Cláusula XX</w:t>
            </w:r>
            <w:r>
              <w:rPr>
                <w:sz w:val="22"/>
                <w:szCs w:val="22"/>
              </w:rPr>
              <w:t>&gt;</w:t>
            </w:r>
          </w:p>
        </w:tc>
      </w:tr>
    </w:tbl>
    <w:p w:rsidR="004E4AF8" w:rsidRDefault="004E4AF8">
      <w:pPr>
        <w:spacing w:after="0" w:line="240" w:lineRule="auto"/>
        <w:jc w:val="left"/>
      </w:pPr>
    </w:p>
    <w:tbl>
      <w:tblPr>
        <w:tblStyle w:val="affffffffffffffffffff"/>
        <w:tblW w:w="9628" w:type="dxa"/>
        <w:tblInd w:w="0" w:type="dxa"/>
        <w:tblBorders>
          <w:top w:val="single" w:sz="4" w:space="0" w:color="0F6FC6"/>
          <w:left w:val="single" w:sz="4" w:space="0" w:color="59A9F2"/>
          <w:bottom w:val="single" w:sz="4" w:space="0" w:color="0F6FC6"/>
          <w:right w:val="single" w:sz="4" w:space="0" w:color="59A9F2"/>
          <w:insideH w:val="single" w:sz="4" w:space="0" w:color="59A9F2"/>
          <w:insideV w:val="single" w:sz="4" w:space="0" w:color="59A9F2"/>
        </w:tblBorders>
        <w:tblLayout w:type="fixed"/>
        <w:tblLook w:val="0400" w:firstRow="0" w:lastRow="0" w:firstColumn="0" w:lastColumn="0" w:noHBand="0" w:noVBand="1"/>
      </w:tblPr>
      <w:tblGrid>
        <w:gridCol w:w="3209"/>
        <w:gridCol w:w="3209"/>
        <w:gridCol w:w="3210"/>
      </w:tblGrid>
      <w:tr w:rsidR="004E4AF8">
        <w:tc>
          <w:tcPr>
            <w:tcW w:w="9628" w:type="dxa"/>
            <w:gridSpan w:val="3"/>
            <w:tcBorders>
              <w:bottom w:val="single" w:sz="4" w:space="0" w:color="000000"/>
            </w:tcBorders>
            <w:shd w:val="clear" w:color="auto" w:fill="BFBFBF"/>
          </w:tcPr>
          <w:p w:rsidR="004E4AF8" w:rsidRDefault="00D62302">
            <w:pPr>
              <w:spacing w:line="259" w:lineRule="auto"/>
              <w:rPr>
                <w:b/>
              </w:rPr>
            </w:pPr>
            <w:r>
              <w:rPr>
                <w:b/>
              </w:rPr>
              <w:t>6 – APROVAÇÃO E ASSINATURA</w:t>
            </w:r>
          </w:p>
        </w:tc>
      </w:tr>
      <w:tr w:rsidR="004E4AF8">
        <w:trPr>
          <w:trHeight w:val="375"/>
        </w:trPr>
        <w:tc>
          <w:tcPr>
            <w:tcW w:w="9628" w:type="dxa"/>
            <w:gridSpan w:val="3"/>
            <w:shd w:val="clear" w:color="auto" w:fill="auto"/>
          </w:tcPr>
          <w:p w:rsidR="004E4AF8" w:rsidRDefault="00D62302">
            <w:pPr>
              <w:rPr>
                <w:sz w:val="20"/>
                <w:szCs w:val="20"/>
              </w:rPr>
            </w:pPr>
            <w:r>
              <w:rPr>
                <w:sz w:val="20"/>
                <w:szCs w:val="20"/>
              </w:rPr>
              <w:t xml:space="preserve">A Equipe de Planejamento da Contratação foi instituída pela Portaria nº </w:t>
            </w:r>
            <w:r>
              <w:rPr>
                <w:color w:val="0F6FC6"/>
                <w:sz w:val="20"/>
                <w:szCs w:val="20"/>
              </w:rPr>
              <w:t xml:space="preserve">XXX </w:t>
            </w:r>
            <w:r>
              <w:rPr>
                <w:sz w:val="20"/>
                <w:szCs w:val="20"/>
              </w:rPr>
              <w:t>(ou outro instrumento equivalente de formalização), de &lt;</w:t>
            </w:r>
            <w:r>
              <w:rPr>
                <w:color w:val="0F6FC6"/>
                <w:sz w:val="20"/>
                <w:szCs w:val="20"/>
              </w:rPr>
              <w:t>dia</w:t>
            </w:r>
            <w:r>
              <w:rPr>
                <w:sz w:val="20"/>
                <w:szCs w:val="20"/>
              </w:rPr>
              <w:t>&gt; de &lt;</w:t>
            </w:r>
            <w:r>
              <w:rPr>
                <w:color w:val="0F6FC6"/>
                <w:sz w:val="20"/>
                <w:szCs w:val="20"/>
              </w:rPr>
              <w:t>mês</w:t>
            </w:r>
            <w:r>
              <w:rPr>
                <w:sz w:val="20"/>
                <w:szCs w:val="20"/>
              </w:rPr>
              <w:t>&gt; de &lt;</w:t>
            </w:r>
            <w:r>
              <w:rPr>
                <w:color w:val="0F6FC6"/>
                <w:sz w:val="20"/>
                <w:szCs w:val="20"/>
              </w:rPr>
              <w:t>ano</w:t>
            </w:r>
            <w:r>
              <w:rPr>
                <w:sz w:val="20"/>
                <w:szCs w:val="20"/>
              </w:rPr>
              <w:t>&gt;.</w:t>
            </w:r>
          </w:p>
          <w:p w:rsidR="004E4AF8" w:rsidRDefault="00D62302">
            <w:pPr>
              <w:rPr>
                <w:sz w:val="20"/>
                <w:szCs w:val="20"/>
              </w:rPr>
            </w:pPr>
            <w:r>
              <w:rPr>
                <w:sz w:val="20"/>
                <w:szCs w:val="20"/>
              </w:rPr>
              <w:t xml:space="preserve">Conforme o § </w:t>
            </w:r>
            <w:r>
              <w:rPr>
                <w:color w:val="0F6FC6"/>
                <w:sz w:val="20"/>
                <w:szCs w:val="20"/>
              </w:rPr>
              <w:t xml:space="preserve">XXº </w:t>
            </w:r>
            <w:r>
              <w:rPr>
                <w:sz w:val="20"/>
                <w:szCs w:val="20"/>
              </w:rPr>
              <w:t xml:space="preserve">do Art. </w:t>
            </w:r>
            <w:r>
              <w:rPr>
                <w:color w:val="0F6FC6"/>
                <w:sz w:val="20"/>
                <w:szCs w:val="20"/>
              </w:rPr>
              <w:t xml:space="preserve">XX </w:t>
            </w:r>
            <w:r>
              <w:rPr>
                <w:sz w:val="20"/>
                <w:szCs w:val="20"/>
              </w:rPr>
              <w:t xml:space="preserve">da Resolução CNJ nº </w:t>
            </w:r>
            <w:r>
              <w:rPr>
                <w:color w:val="0F6FC6"/>
                <w:sz w:val="20"/>
                <w:szCs w:val="20"/>
              </w:rPr>
              <w:t>XXX</w:t>
            </w:r>
            <w:r>
              <w:rPr>
                <w:sz w:val="20"/>
                <w:szCs w:val="20"/>
              </w:rPr>
              <w:t xml:space="preserve">, de </w:t>
            </w:r>
            <w:r>
              <w:rPr>
                <w:color w:val="0F6FC6"/>
                <w:sz w:val="20"/>
                <w:szCs w:val="20"/>
              </w:rPr>
              <w:t>20XX</w:t>
            </w:r>
            <w:r>
              <w:rPr>
                <w:sz w:val="20"/>
                <w:szCs w:val="20"/>
              </w:rPr>
              <w:t>, o Plano de Sustentação deverá ser aprovado e assinado pelos Integrantes Técnicos e Demandantes e pela autoridade máxima da área de TIC:</w:t>
            </w:r>
          </w:p>
        </w:tc>
      </w:tr>
      <w:tr w:rsidR="004E4AF8">
        <w:trPr>
          <w:trHeight w:val="1028"/>
        </w:trPr>
        <w:tc>
          <w:tcPr>
            <w:tcW w:w="3209" w:type="dxa"/>
            <w:shd w:val="clear" w:color="auto" w:fill="auto"/>
          </w:tcPr>
          <w:p w:rsidR="004E4AF8" w:rsidRDefault="004E4AF8">
            <w:pPr>
              <w:jc w:val="center"/>
              <w:rPr>
                <w:sz w:val="20"/>
                <w:szCs w:val="20"/>
              </w:rPr>
            </w:pPr>
          </w:p>
          <w:p w:rsidR="004E4AF8" w:rsidRDefault="00D62302">
            <w:pPr>
              <w:jc w:val="center"/>
              <w:rPr>
                <w:sz w:val="20"/>
                <w:szCs w:val="20"/>
              </w:rPr>
            </w:pPr>
            <w:r>
              <w:rPr>
                <w:sz w:val="20"/>
                <w:szCs w:val="20"/>
              </w:rPr>
              <w:t>____________________________</w:t>
            </w:r>
          </w:p>
          <w:p w:rsidR="004E4AF8" w:rsidRDefault="00D62302">
            <w:pPr>
              <w:jc w:val="center"/>
              <w:rPr>
                <w:b/>
                <w:sz w:val="20"/>
                <w:szCs w:val="20"/>
              </w:rPr>
            </w:pPr>
            <w:r>
              <w:rPr>
                <w:b/>
                <w:sz w:val="20"/>
                <w:szCs w:val="20"/>
              </w:rPr>
              <w:t>Integrante Técnico</w:t>
            </w:r>
          </w:p>
          <w:p w:rsidR="004E4AF8" w:rsidRDefault="00D62302">
            <w:pPr>
              <w:jc w:val="center"/>
              <w:rPr>
                <w:sz w:val="20"/>
                <w:szCs w:val="20"/>
              </w:rPr>
            </w:pPr>
            <w:r>
              <w:rPr>
                <w:sz w:val="20"/>
                <w:szCs w:val="20"/>
              </w:rPr>
              <w:t>&lt;</w:t>
            </w:r>
            <w:r>
              <w:rPr>
                <w:color w:val="0F6FC6"/>
                <w:sz w:val="20"/>
                <w:szCs w:val="20"/>
              </w:rPr>
              <w:t>Nome</w:t>
            </w:r>
            <w:r>
              <w:rPr>
                <w:sz w:val="20"/>
                <w:szCs w:val="20"/>
              </w:rPr>
              <w:t>&gt;</w:t>
            </w:r>
          </w:p>
          <w:p w:rsidR="004E4AF8" w:rsidRDefault="00D62302">
            <w:pPr>
              <w:jc w:val="center"/>
              <w:rPr>
                <w:sz w:val="20"/>
                <w:szCs w:val="20"/>
              </w:rPr>
            </w:pPr>
            <w:r>
              <w:rPr>
                <w:sz w:val="20"/>
                <w:szCs w:val="20"/>
              </w:rPr>
              <w:t>&lt;</w:t>
            </w:r>
            <w:r>
              <w:rPr>
                <w:color w:val="0F6FC6"/>
                <w:sz w:val="20"/>
                <w:szCs w:val="20"/>
              </w:rPr>
              <w:t>Cargo</w:t>
            </w:r>
            <w:r>
              <w:rPr>
                <w:sz w:val="20"/>
                <w:szCs w:val="20"/>
              </w:rPr>
              <w:t>&gt;</w:t>
            </w:r>
          </w:p>
          <w:p w:rsidR="004E4AF8" w:rsidRDefault="00D62302">
            <w:pPr>
              <w:jc w:val="center"/>
              <w:rPr>
                <w:sz w:val="20"/>
                <w:szCs w:val="20"/>
              </w:rPr>
            </w:pPr>
            <w:r>
              <w:rPr>
                <w:sz w:val="20"/>
                <w:szCs w:val="20"/>
              </w:rPr>
              <w:t>&lt;</w:t>
            </w:r>
            <w:r>
              <w:rPr>
                <w:color w:val="0F6FC6"/>
                <w:sz w:val="20"/>
                <w:szCs w:val="20"/>
              </w:rPr>
              <w:t>Matrícula</w:t>
            </w:r>
            <w:r>
              <w:rPr>
                <w:sz w:val="20"/>
                <w:szCs w:val="20"/>
              </w:rPr>
              <w:t>&gt;</w:t>
            </w:r>
          </w:p>
        </w:tc>
        <w:tc>
          <w:tcPr>
            <w:tcW w:w="3209" w:type="dxa"/>
            <w:shd w:val="clear" w:color="auto" w:fill="auto"/>
          </w:tcPr>
          <w:p w:rsidR="004E4AF8" w:rsidRDefault="004E4AF8">
            <w:pPr>
              <w:jc w:val="center"/>
              <w:rPr>
                <w:sz w:val="20"/>
                <w:szCs w:val="20"/>
              </w:rPr>
            </w:pPr>
          </w:p>
          <w:p w:rsidR="004E4AF8" w:rsidRDefault="00D62302">
            <w:pPr>
              <w:jc w:val="center"/>
              <w:rPr>
                <w:sz w:val="20"/>
                <w:szCs w:val="20"/>
              </w:rPr>
            </w:pPr>
            <w:r>
              <w:rPr>
                <w:sz w:val="20"/>
                <w:szCs w:val="20"/>
              </w:rPr>
              <w:t>________________________________</w:t>
            </w:r>
          </w:p>
          <w:p w:rsidR="004E4AF8" w:rsidRDefault="00D62302">
            <w:pPr>
              <w:jc w:val="center"/>
              <w:rPr>
                <w:b/>
                <w:sz w:val="20"/>
                <w:szCs w:val="20"/>
              </w:rPr>
            </w:pPr>
            <w:r>
              <w:rPr>
                <w:b/>
                <w:sz w:val="20"/>
                <w:szCs w:val="20"/>
              </w:rPr>
              <w:t>Integrante Demandante</w:t>
            </w:r>
          </w:p>
          <w:p w:rsidR="004E4AF8" w:rsidRDefault="00D62302">
            <w:pPr>
              <w:jc w:val="center"/>
              <w:rPr>
                <w:sz w:val="20"/>
                <w:szCs w:val="20"/>
              </w:rPr>
            </w:pPr>
            <w:r>
              <w:rPr>
                <w:sz w:val="20"/>
                <w:szCs w:val="20"/>
              </w:rPr>
              <w:t>&lt;</w:t>
            </w:r>
            <w:r>
              <w:rPr>
                <w:color w:val="0F6FC6"/>
                <w:sz w:val="20"/>
                <w:szCs w:val="20"/>
              </w:rPr>
              <w:t>Nome</w:t>
            </w:r>
            <w:r>
              <w:rPr>
                <w:sz w:val="20"/>
                <w:szCs w:val="20"/>
              </w:rPr>
              <w:t>&gt;</w:t>
            </w:r>
          </w:p>
          <w:p w:rsidR="004E4AF8" w:rsidRDefault="00D62302">
            <w:pPr>
              <w:jc w:val="center"/>
              <w:rPr>
                <w:sz w:val="20"/>
                <w:szCs w:val="20"/>
              </w:rPr>
            </w:pPr>
            <w:r>
              <w:rPr>
                <w:sz w:val="20"/>
                <w:szCs w:val="20"/>
              </w:rPr>
              <w:t>&lt;</w:t>
            </w:r>
            <w:r>
              <w:rPr>
                <w:color w:val="0F6FC6"/>
                <w:sz w:val="20"/>
                <w:szCs w:val="20"/>
              </w:rPr>
              <w:t>Cargo</w:t>
            </w:r>
            <w:r>
              <w:rPr>
                <w:sz w:val="20"/>
                <w:szCs w:val="20"/>
              </w:rPr>
              <w:t>&gt;</w:t>
            </w:r>
          </w:p>
          <w:p w:rsidR="004E4AF8" w:rsidRDefault="00D62302">
            <w:pPr>
              <w:jc w:val="center"/>
              <w:rPr>
                <w:sz w:val="20"/>
                <w:szCs w:val="20"/>
              </w:rPr>
            </w:pPr>
            <w:r>
              <w:rPr>
                <w:sz w:val="20"/>
                <w:szCs w:val="20"/>
              </w:rPr>
              <w:t>&lt;</w:t>
            </w:r>
            <w:r>
              <w:rPr>
                <w:color w:val="0F6FC6"/>
                <w:sz w:val="20"/>
                <w:szCs w:val="20"/>
              </w:rPr>
              <w:t>Matrícula</w:t>
            </w:r>
            <w:r>
              <w:rPr>
                <w:sz w:val="20"/>
                <w:szCs w:val="20"/>
              </w:rPr>
              <w:t>&gt;</w:t>
            </w:r>
          </w:p>
        </w:tc>
        <w:tc>
          <w:tcPr>
            <w:tcW w:w="3210" w:type="dxa"/>
            <w:shd w:val="clear" w:color="auto" w:fill="auto"/>
          </w:tcPr>
          <w:p w:rsidR="004E4AF8" w:rsidRDefault="004E4AF8">
            <w:pPr>
              <w:jc w:val="center"/>
              <w:rPr>
                <w:sz w:val="20"/>
                <w:szCs w:val="20"/>
              </w:rPr>
            </w:pPr>
          </w:p>
          <w:p w:rsidR="004E4AF8" w:rsidRDefault="00D62302">
            <w:pPr>
              <w:jc w:val="center"/>
              <w:rPr>
                <w:sz w:val="20"/>
                <w:szCs w:val="20"/>
              </w:rPr>
            </w:pPr>
            <w:r>
              <w:rPr>
                <w:sz w:val="20"/>
                <w:szCs w:val="20"/>
              </w:rPr>
              <w:t>_________________________________</w:t>
            </w:r>
          </w:p>
          <w:p w:rsidR="004E4AF8" w:rsidRDefault="00D62302">
            <w:pPr>
              <w:jc w:val="center"/>
              <w:rPr>
                <w:b/>
                <w:sz w:val="20"/>
                <w:szCs w:val="20"/>
              </w:rPr>
            </w:pPr>
            <w:r>
              <w:rPr>
                <w:b/>
                <w:sz w:val="20"/>
                <w:szCs w:val="20"/>
              </w:rPr>
              <w:t>Integrante Administrativo</w:t>
            </w:r>
          </w:p>
          <w:p w:rsidR="004E4AF8" w:rsidRDefault="00D62302">
            <w:pPr>
              <w:jc w:val="center"/>
              <w:rPr>
                <w:sz w:val="20"/>
                <w:szCs w:val="20"/>
              </w:rPr>
            </w:pPr>
            <w:r>
              <w:rPr>
                <w:sz w:val="20"/>
                <w:szCs w:val="20"/>
              </w:rPr>
              <w:t>&lt;</w:t>
            </w:r>
            <w:r>
              <w:rPr>
                <w:color w:val="0F6FC6"/>
                <w:sz w:val="20"/>
                <w:szCs w:val="20"/>
              </w:rPr>
              <w:t>Nome</w:t>
            </w:r>
            <w:r>
              <w:rPr>
                <w:sz w:val="20"/>
                <w:szCs w:val="20"/>
              </w:rPr>
              <w:t>&gt;</w:t>
            </w:r>
          </w:p>
          <w:p w:rsidR="004E4AF8" w:rsidRDefault="00D62302">
            <w:pPr>
              <w:jc w:val="center"/>
              <w:rPr>
                <w:sz w:val="20"/>
                <w:szCs w:val="20"/>
              </w:rPr>
            </w:pPr>
            <w:r>
              <w:rPr>
                <w:sz w:val="20"/>
                <w:szCs w:val="20"/>
              </w:rPr>
              <w:t>&lt;</w:t>
            </w:r>
            <w:r>
              <w:rPr>
                <w:color w:val="0F6FC6"/>
                <w:sz w:val="20"/>
                <w:szCs w:val="20"/>
              </w:rPr>
              <w:t>Cargo</w:t>
            </w:r>
            <w:r>
              <w:rPr>
                <w:sz w:val="20"/>
                <w:szCs w:val="20"/>
              </w:rPr>
              <w:t>&gt;</w:t>
            </w:r>
          </w:p>
          <w:p w:rsidR="004E4AF8" w:rsidRDefault="00D62302">
            <w:pPr>
              <w:jc w:val="center"/>
              <w:rPr>
                <w:sz w:val="20"/>
                <w:szCs w:val="20"/>
              </w:rPr>
            </w:pPr>
            <w:r>
              <w:rPr>
                <w:sz w:val="20"/>
                <w:szCs w:val="20"/>
              </w:rPr>
              <w:t>&lt;</w:t>
            </w:r>
            <w:r>
              <w:rPr>
                <w:color w:val="0F6FC6"/>
                <w:sz w:val="20"/>
                <w:szCs w:val="20"/>
              </w:rPr>
              <w:t>Matrícula</w:t>
            </w:r>
            <w:r>
              <w:rPr>
                <w:sz w:val="20"/>
                <w:szCs w:val="20"/>
              </w:rPr>
              <w:t>&gt;</w:t>
            </w:r>
          </w:p>
        </w:tc>
      </w:tr>
      <w:tr w:rsidR="004E4AF8">
        <w:trPr>
          <w:trHeight w:val="1028"/>
        </w:trPr>
        <w:tc>
          <w:tcPr>
            <w:tcW w:w="9628" w:type="dxa"/>
            <w:gridSpan w:val="3"/>
            <w:shd w:val="clear" w:color="auto" w:fill="auto"/>
          </w:tcPr>
          <w:p w:rsidR="004E4AF8" w:rsidRDefault="00D62302">
            <w:pPr>
              <w:jc w:val="center"/>
              <w:rPr>
                <w:b/>
                <w:sz w:val="20"/>
                <w:szCs w:val="20"/>
              </w:rPr>
            </w:pPr>
            <w:r>
              <w:rPr>
                <w:b/>
                <w:sz w:val="20"/>
                <w:szCs w:val="20"/>
              </w:rPr>
              <w:t>AUTORIDADE MÁXIMA DA ÁREA DE TIC</w:t>
            </w:r>
          </w:p>
          <w:p w:rsidR="004E4AF8" w:rsidRDefault="00D62302">
            <w:pPr>
              <w:jc w:val="center"/>
              <w:rPr>
                <w:b/>
                <w:color w:val="FF0000"/>
                <w:sz w:val="20"/>
                <w:szCs w:val="20"/>
              </w:rPr>
            </w:pPr>
            <w:r>
              <w:rPr>
                <w:b/>
                <w:color w:val="FF0000"/>
                <w:sz w:val="20"/>
                <w:szCs w:val="20"/>
              </w:rPr>
              <w:t>(OU AUTORIDADE SUPERIOR, SE APLICÁVEL – § XXº do art. XX)</w:t>
            </w:r>
          </w:p>
          <w:p w:rsidR="004E4AF8" w:rsidRDefault="004E4AF8">
            <w:pPr>
              <w:jc w:val="center"/>
              <w:rPr>
                <w:b/>
                <w:sz w:val="20"/>
                <w:szCs w:val="20"/>
              </w:rPr>
            </w:pPr>
          </w:p>
          <w:p w:rsidR="004E4AF8" w:rsidRDefault="00D62302">
            <w:pPr>
              <w:jc w:val="center"/>
              <w:rPr>
                <w:sz w:val="20"/>
                <w:szCs w:val="20"/>
              </w:rPr>
            </w:pPr>
            <w:r>
              <w:rPr>
                <w:sz w:val="20"/>
                <w:szCs w:val="20"/>
              </w:rPr>
              <w:t>________________________________________</w:t>
            </w:r>
          </w:p>
          <w:p w:rsidR="004E4AF8" w:rsidRDefault="00D62302">
            <w:pPr>
              <w:jc w:val="center"/>
              <w:rPr>
                <w:sz w:val="20"/>
                <w:szCs w:val="20"/>
              </w:rPr>
            </w:pPr>
            <w:r>
              <w:rPr>
                <w:sz w:val="20"/>
                <w:szCs w:val="20"/>
              </w:rPr>
              <w:t>&lt;</w:t>
            </w:r>
            <w:r>
              <w:rPr>
                <w:color w:val="0F6FC6"/>
                <w:sz w:val="20"/>
                <w:szCs w:val="20"/>
              </w:rPr>
              <w:t>Nome da autoridade</w:t>
            </w:r>
            <w:r>
              <w:rPr>
                <w:sz w:val="20"/>
                <w:szCs w:val="20"/>
              </w:rPr>
              <w:t>&gt;</w:t>
            </w:r>
          </w:p>
          <w:p w:rsidR="004E4AF8" w:rsidRDefault="00D62302">
            <w:pPr>
              <w:jc w:val="center"/>
              <w:rPr>
                <w:sz w:val="20"/>
                <w:szCs w:val="20"/>
              </w:rPr>
            </w:pPr>
            <w:r>
              <w:rPr>
                <w:sz w:val="20"/>
                <w:szCs w:val="20"/>
              </w:rPr>
              <w:t>&lt;</w:t>
            </w:r>
            <w:r>
              <w:rPr>
                <w:color w:val="0F6FC6"/>
                <w:sz w:val="20"/>
                <w:szCs w:val="20"/>
              </w:rPr>
              <w:t>Cargo</w:t>
            </w:r>
            <w:r>
              <w:rPr>
                <w:sz w:val="20"/>
                <w:szCs w:val="20"/>
              </w:rPr>
              <w:t>&gt;</w:t>
            </w:r>
          </w:p>
          <w:p w:rsidR="004E4AF8" w:rsidRDefault="00D62302">
            <w:pPr>
              <w:jc w:val="center"/>
              <w:rPr>
                <w:sz w:val="20"/>
                <w:szCs w:val="20"/>
              </w:rPr>
            </w:pPr>
            <w:r>
              <w:rPr>
                <w:sz w:val="20"/>
                <w:szCs w:val="20"/>
              </w:rPr>
              <w:t>&lt;</w:t>
            </w:r>
            <w:r>
              <w:rPr>
                <w:color w:val="0F6FC6"/>
                <w:sz w:val="20"/>
                <w:szCs w:val="20"/>
              </w:rPr>
              <w:t>Matrícula</w:t>
            </w:r>
            <w:r>
              <w:rPr>
                <w:sz w:val="20"/>
                <w:szCs w:val="20"/>
              </w:rPr>
              <w:t>&gt;</w:t>
            </w:r>
          </w:p>
          <w:p w:rsidR="004E4AF8" w:rsidRDefault="004E4AF8">
            <w:pPr>
              <w:jc w:val="center"/>
              <w:rPr>
                <w:sz w:val="20"/>
                <w:szCs w:val="20"/>
              </w:rPr>
            </w:pPr>
          </w:p>
          <w:p w:rsidR="004E4AF8" w:rsidRDefault="00D62302">
            <w:pPr>
              <w:jc w:val="center"/>
              <w:rPr>
                <w:sz w:val="20"/>
                <w:szCs w:val="20"/>
              </w:rPr>
            </w:pPr>
            <w:r>
              <w:rPr>
                <w:sz w:val="20"/>
                <w:szCs w:val="20"/>
              </w:rPr>
              <w:t>&lt;</w:t>
            </w:r>
            <w:r>
              <w:rPr>
                <w:color w:val="0F6FC6"/>
                <w:sz w:val="20"/>
                <w:szCs w:val="20"/>
              </w:rPr>
              <w:t>Local</w:t>
            </w:r>
            <w:r>
              <w:rPr>
                <w:sz w:val="20"/>
                <w:szCs w:val="20"/>
              </w:rPr>
              <w:t>&gt;, &lt;</w:t>
            </w:r>
            <w:r>
              <w:rPr>
                <w:color w:val="0F6FC6"/>
                <w:sz w:val="20"/>
                <w:szCs w:val="20"/>
              </w:rPr>
              <w:t>dia</w:t>
            </w:r>
            <w:r>
              <w:rPr>
                <w:sz w:val="20"/>
                <w:szCs w:val="20"/>
              </w:rPr>
              <w:t>&gt; de &lt;</w:t>
            </w:r>
            <w:r>
              <w:rPr>
                <w:color w:val="0F6FC6"/>
                <w:sz w:val="20"/>
                <w:szCs w:val="20"/>
              </w:rPr>
              <w:t>mês</w:t>
            </w:r>
            <w:r>
              <w:rPr>
                <w:sz w:val="20"/>
                <w:szCs w:val="20"/>
              </w:rPr>
              <w:t>&gt; de &lt;</w:t>
            </w:r>
            <w:r>
              <w:rPr>
                <w:color w:val="0F6FC6"/>
                <w:sz w:val="20"/>
                <w:szCs w:val="20"/>
              </w:rPr>
              <w:t>ano</w:t>
            </w:r>
            <w:r>
              <w:rPr>
                <w:sz w:val="20"/>
                <w:szCs w:val="20"/>
              </w:rPr>
              <w:t>&gt;.</w:t>
            </w:r>
          </w:p>
          <w:p w:rsidR="004E4AF8" w:rsidRDefault="004E4AF8">
            <w:pPr>
              <w:jc w:val="center"/>
              <w:rPr>
                <w:sz w:val="20"/>
                <w:szCs w:val="20"/>
              </w:rPr>
            </w:pPr>
          </w:p>
        </w:tc>
      </w:tr>
    </w:tbl>
    <w:p w:rsidR="004E4AF8" w:rsidRDefault="004E4AF8">
      <w:pPr>
        <w:spacing w:line="259" w:lineRule="auto"/>
        <w:jc w:val="left"/>
      </w:pPr>
    </w:p>
    <w:p w:rsidR="004E4AF8" w:rsidRDefault="004E4AF8">
      <w:pPr>
        <w:spacing w:line="259" w:lineRule="auto"/>
        <w:jc w:val="left"/>
      </w:pPr>
    </w:p>
    <w:p w:rsidR="004E4AF8" w:rsidRDefault="004E4AF8">
      <w:pPr>
        <w:jc w:val="center"/>
        <w:rPr>
          <w:b/>
        </w:rPr>
      </w:pPr>
    </w:p>
    <w:p w:rsidR="004E4AF8" w:rsidRDefault="004E4AF8">
      <w:pPr>
        <w:jc w:val="center"/>
        <w:rPr>
          <w:b/>
        </w:rPr>
      </w:pPr>
    </w:p>
    <w:p w:rsidR="004E4AF8" w:rsidRDefault="00D62302">
      <w:pPr>
        <w:jc w:val="center"/>
        <w:rPr>
          <w:b/>
        </w:rPr>
      </w:pPr>
      <w:r>
        <w:rPr>
          <w:b/>
        </w:rPr>
        <w:t>EQUIPE DE FISCALIZAÇÃO DOS CONTRATOS</w:t>
      </w:r>
    </w:p>
    <w:p w:rsidR="004E4AF8" w:rsidRDefault="004E4AF8"/>
    <w:p w:rsidR="004E4AF8" w:rsidRDefault="00D62302">
      <w:pPr>
        <w:spacing w:after="0" w:line="240" w:lineRule="auto"/>
        <w:jc w:val="center"/>
        <w:rPr>
          <w:b/>
          <w:i/>
        </w:rPr>
      </w:pPr>
      <w:r>
        <w:rPr>
          <w:b/>
          <w:i/>
        </w:rPr>
        <w:t>Raquel Cunha da Conceição</w:t>
      </w:r>
    </w:p>
    <w:p w:rsidR="004E4AF8" w:rsidRDefault="00D62302">
      <w:pPr>
        <w:spacing w:after="0" w:line="240" w:lineRule="auto"/>
        <w:jc w:val="center"/>
      </w:pPr>
      <w:r>
        <w:t>Diretora de Tecnologia da Informação e Comunicação</w:t>
      </w:r>
    </w:p>
    <w:p w:rsidR="004E4AF8" w:rsidRDefault="004E4AF8">
      <w:pPr>
        <w:spacing w:after="0" w:line="240" w:lineRule="auto"/>
        <w:jc w:val="center"/>
      </w:pPr>
    </w:p>
    <w:p w:rsidR="004E4AF8" w:rsidRDefault="004E4AF8">
      <w:pPr>
        <w:spacing w:after="0" w:line="240" w:lineRule="auto"/>
        <w:jc w:val="center"/>
      </w:pPr>
    </w:p>
    <w:p w:rsidR="004E4AF8" w:rsidRDefault="00D62302">
      <w:pPr>
        <w:spacing w:after="0" w:line="240" w:lineRule="auto"/>
        <w:jc w:val="center"/>
        <w:rPr>
          <w:b/>
          <w:i/>
        </w:rPr>
      </w:pPr>
      <w:r>
        <w:rPr>
          <w:b/>
          <w:i/>
        </w:rPr>
        <w:t>Ronimar Ferreira de Matos</w:t>
      </w:r>
    </w:p>
    <w:p w:rsidR="004E4AF8" w:rsidRDefault="00D62302">
      <w:pPr>
        <w:spacing w:after="0" w:line="240" w:lineRule="auto"/>
        <w:jc w:val="center"/>
      </w:pPr>
      <w:r>
        <w:t>Gerente de Redes</w:t>
      </w:r>
    </w:p>
    <w:p w:rsidR="004E4AF8" w:rsidRDefault="004E4AF8">
      <w:pPr>
        <w:spacing w:after="0" w:line="240" w:lineRule="auto"/>
        <w:jc w:val="center"/>
      </w:pPr>
    </w:p>
    <w:p w:rsidR="004E4AF8" w:rsidRDefault="00D62302">
      <w:pPr>
        <w:spacing w:after="0" w:line="240" w:lineRule="auto"/>
        <w:jc w:val="center"/>
        <w:rPr>
          <w:b/>
          <w:i/>
        </w:rPr>
      </w:pPr>
      <w:r>
        <w:rPr>
          <w:b/>
          <w:i/>
        </w:rPr>
        <w:t>Elson Correia de Oliveira Neto</w:t>
      </w:r>
    </w:p>
    <w:p w:rsidR="004E4AF8" w:rsidRDefault="00D62302">
      <w:pPr>
        <w:spacing w:after="0" w:line="240" w:lineRule="auto"/>
        <w:jc w:val="center"/>
      </w:pPr>
      <w:r>
        <w:t xml:space="preserve">Gerente de Segurança da Informação </w:t>
      </w:r>
    </w:p>
    <w:p w:rsidR="004E4AF8" w:rsidRDefault="004E4AF8">
      <w:pPr>
        <w:spacing w:after="0" w:line="240" w:lineRule="auto"/>
        <w:jc w:val="center"/>
      </w:pPr>
    </w:p>
    <w:p w:rsidR="004E4AF8" w:rsidRDefault="00D62302">
      <w:pPr>
        <w:spacing w:after="0" w:line="240" w:lineRule="auto"/>
        <w:jc w:val="center"/>
        <w:rPr>
          <w:b/>
          <w:i/>
        </w:rPr>
      </w:pPr>
      <w:r>
        <w:rPr>
          <w:b/>
          <w:i/>
        </w:rPr>
        <w:t>Josana Aymara Pereira Nishihira</w:t>
      </w:r>
    </w:p>
    <w:p w:rsidR="004E4AF8" w:rsidRDefault="00D62302">
      <w:pPr>
        <w:spacing w:after="0" w:line="240" w:lineRule="auto"/>
        <w:jc w:val="center"/>
      </w:pPr>
      <w:r>
        <w:t>Gerente de Sistemas</w:t>
      </w:r>
    </w:p>
    <w:p w:rsidR="004E4AF8" w:rsidRDefault="004E4AF8">
      <w:pPr>
        <w:spacing w:after="0" w:line="240" w:lineRule="auto"/>
        <w:jc w:val="center"/>
      </w:pPr>
    </w:p>
    <w:p w:rsidR="004E4AF8" w:rsidRDefault="00D62302">
      <w:pPr>
        <w:spacing w:after="0" w:line="240" w:lineRule="auto"/>
        <w:jc w:val="center"/>
        <w:rPr>
          <w:b/>
          <w:i/>
        </w:rPr>
      </w:pPr>
      <w:r>
        <w:rPr>
          <w:b/>
          <w:i/>
        </w:rPr>
        <w:t>Victor Hugo Lima de Sousa</w:t>
      </w:r>
    </w:p>
    <w:p w:rsidR="004E4AF8" w:rsidRDefault="00D62302">
      <w:pPr>
        <w:spacing w:after="0" w:line="240" w:lineRule="auto"/>
        <w:jc w:val="center"/>
      </w:pPr>
      <w:r>
        <w:t>Gerente de Serviços de TI</w:t>
      </w:r>
    </w:p>
    <w:p w:rsidR="004E4AF8" w:rsidRDefault="004E4AF8"/>
    <w:p w:rsidR="004E4AF8" w:rsidRDefault="004E4AF8"/>
    <w:p w:rsidR="004E4AF8" w:rsidRDefault="004E4AF8"/>
    <w:p w:rsidR="004E4AF8" w:rsidRDefault="004E4AF8"/>
    <w:p w:rsidR="004E4AF8" w:rsidRDefault="00D62302">
      <w:pPr>
        <w:spacing w:line="259" w:lineRule="auto"/>
        <w:jc w:val="left"/>
      </w:pPr>
      <w:r>
        <w:br w:type="page"/>
      </w:r>
    </w:p>
    <w:p w:rsidR="004E4AF8" w:rsidRDefault="00D62302">
      <w:pPr>
        <w:spacing w:after="0" w:line="240" w:lineRule="auto"/>
        <w:jc w:val="center"/>
        <w:rPr>
          <w:b/>
        </w:rPr>
      </w:pPr>
      <w:r>
        <w:rPr>
          <w:b/>
        </w:rPr>
        <w:lastRenderedPageBreak/>
        <w:t>ELABORAÇÃO</w:t>
      </w:r>
    </w:p>
    <w:p w:rsidR="004E4AF8" w:rsidRDefault="004E4AF8">
      <w:pPr>
        <w:spacing w:after="0" w:line="240" w:lineRule="auto"/>
        <w:jc w:val="center"/>
      </w:pPr>
    </w:p>
    <w:p w:rsidR="004E4AF8" w:rsidRDefault="004E4AF8">
      <w:pPr>
        <w:spacing w:after="0" w:line="240" w:lineRule="auto"/>
        <w:jc w:val="center"/>
      </w:pPr>
    </w:p>
    <w:p w:rsidR="004E4AF8" w:rsidRDefault="00D62302">
      <w:pPr>
        <w:spacing w:after="0" w:line="240" w:lineRule="auto"/>
        <w:jc w:val="center"/>
        <w:rPr>
          <w:b/>
        </w:rPr>
      </w:pPr>
      <w:r>
        <w:rPr>
          <w:b/>
        </w:rPr>
        <w:t>Coordenação e Superv</w:t>
      </w:r>
      <w:r>
        <w:rPr>
          <w:b/>
        </w:rPr>
        <w:t>isão</w:t>
      </w:r>
    </w:p>
    <w:p w:rsidR="004E4AF8" w:rsidRDefault="004E4AF8">
      <w:pPr>
        <w:spacing w:after="0" w:line="240" w:lineRule="auto"/>
        <w:jc w:val="center"/>
      </w:pPr>
    </w:p>
    <w:p w:rsidR="004E4AF8" w:rsidRDefault="00D62302">
      <w:pPr>
        <w:spacing w:after="0" w:line="240" w:lineRule="auto"/>
        <w:jc w:val="center"/>
        <w:rPr>
          <w:b/>
          <w:i/>
        </w:rPr>
      </w:pPr>
      <w:r>
        <w:rPr>
          <w:b/>
          <w:i/>
        </w:rPr>
        <w:t>Raquel Cunha da Conceição</w:t>
      </w:r>
    </w:p>
    <w:p w:rsidR="004E4AF8" w:rsidRDefault="00D62302">
      <w:pPr>
        <w:spacing w:after="0" w:line="240" w:lineRule="auto"/>
        <w:jc w:val="center"/>
      </w:pPr>
      <w:r>
        <w:t>Diretora TIC</w:t>
      </w:r>
    </w:p>
    <w:p w:rsidR="004E4AF8" w:rsidRDefault="004E4AF8">
      <w:pPr>
        <w:spacing w:after="0" w:line="240" w:lineRule="auto"/>
        <w:jc w:val="center"/>
      </w:pPr>
    </w:p>
    <w:p w:rsidR="004E4AF8" w:rsidRDefault="004E4AF8">
      <w:pPr>
        <w:spacing w:after="0" w:line="240" w:lineRule="auto"/>
        <w:jc w:val="center"/>
      </w:pPr>
    </w:p>
    <w:p w:rsidR="004E4AF8" w:rsidRDefault="004E4AF8">
      <w:pPr>
        <w:spacing w:after="0" w:line="240" w:lineRule="auto"/>
        <w:jc w:val="center"/>
      </w:pPr>
    </w:p>
    <w:p w:rsidR="004E4AF8" w:rsidRDefault="00D62302">
      <w:pPr>
        <w:spacing w:after="0" w:line="240" w:lineRule="auto"/>
        <w:jc w:val="center"/>
        <w:rPr>
          <w:b/>
        </w:rPr>
      </w:pPr>
      <w:r>
        <w:rPr>
          <w:b/>
        </w:rPr>
        <w:t>EQUIPE TÉCNICA</w:t>
      </w:r>
    </w:p>
    <w:p w:rsidR="004E4AF8" w:rsidRDefault="004E4AF8">
      <w:pPr>
        <w:spacing w:after="0" w:line="240" w:lineRule="auto"/>
        <w:jc w:val="center"/>
      </w:pPr>
    </w:p>
    <w:p w:rsidR="004E4AF8" w:rsidRDefault="004E4AF8">
      <w:pPr>
        <w:spacing w:after="0" w:line="240" w:lineRule="auto"/>
        <w:jc w:val="center"/>
      </w:pPr>
    </w:p>
    <w:p w:rsidR="004E4AF8" w:rsidRDefault="00D62302">
      <w:pPr>
        <w:spacing w:after="0" w:line="240" w:lineRule="auto"/>
        <w:jc w:val="center"/>
        <w:rPr>
          <w:b/>
          <w:i/>
        </w:rPr>
      </w:pPr>
      <w:r>
        <w:rPr>
          <w:b/>
          <w:i/>
        </w:rPr>
        <w:t>Ronimar Ferreira de Matos</w:t>
      </w:r>
    </w:p>
    <w:p w:rsidR="004E4AF8" w:rsidRDefault="00D62302">
      <w:pPr>
        <w:spacing w:after="0" w:line="240" w:lineRule="auto"/>
        <w:jc w:val="center"/>
      </w:pPr>
      <w:r>
        <w:t>Gerente</w:t>
      </w:r>
    </w:p>
    <w:p w:rsidR="004E4AF8" w:rsidRDefault="004E4AF8">
      <w:pPr>
        <w:spacing w:after="0" w:line="240" w:lineRule="auto"/>
        <w:jc w:val="center"/>
      </w:pPr>
    </w:p>
    <w:p w:rsidR="004E4AF8" w:rsidRDefault="00D62302">
      <w:pPr>
        <w:spacing w:after="0" w:line="240" w:lineRule="auto"/>
        <w:jc w:val="center"/>
        <w:rPr>
          <w:b/>
          <w:i/>
        </w:rPr>
      </w:pPr>
      <w:r>
        <w:rPr>
          <w:b/>
          <w:i/>
        </w:rPr>
        <w:t>Raimundo José da Costa Rodrigues</w:t>
      </w:r>
    </w:p>
    <w:p w:rsidR="004E4AF8" w:rsidRDefault="00D62302">
      <w:pPr>
        <w:spacing w:after="0" w:line="240" w:lineRule="auto"/>
        <w:jc w:val="center"/>
      </w:pPr>
      <w:r>
        <w:t>Assessor Técnico</w:t>
      </w:r>
    </w:p>
    <w:p w:rsidR="004E4AF8" w:rsidRDefault="004E4AF8">
      <w:pPr>
        <w:spacing w:after="0" w:line="240" w:lineRule="auto"/>
        <w:jc w:val="center"/>
      </w:pPr>
    </w:p>
    <w:p w:rsidR="004E4AF8" w:rsidRDefault="00D62302">
      <w:pPr>
        <w:spacing w:after="0" w:line="240" w:lineRule="auto"/>
        <w:jc w:val="center"/>
        <w:rPr>
          <w:b/>
          <w:i/>
        </w:rPr>
      </w:pPr>
      <w:r>
        <w:rPr>
          <w:b/>
          <w:i/>
        </w:rPr>
        <w:t>Antônia Silva Mendonça Rocha</w:t>
      </w:r>
    </w:p>
    <w:p w:rsidR="004E4AF8" w:rsidRDefault="00D62302">
      <w:pPr>
        <w:spacing w:after="0" w:line="240" w:lineRule="auto"/>
        <w:jc w:val="center"/>
      </w:pPr>
      <w:r>
        <w:t>Estagiária</w:t>
      </w:r>
    </w:p>
    <w:p w:rsidR="004E4AF8" w:rsidRDefault="004E4AF8">
      <w:pPr>
        <w:spacing w:after="0" w:line="240" w:lineRule="auto"/>
        <w:jc w:val="center"/>
      </w:pPr>
    </w:p>
    <w:p w:rsidR="004E4AF8" w:rsidRDefault="00D62302">
      <w:pPr>
        <w:spacing w:after="0" w:line="240" w:lineRule="auto"/>
        <w:jc w:val="center"/>
        <w:rPr>
          <w:b/>
          <w:i/>
        </w:rPr>
      </w:pPr>
      <w:r>
        <w:rPr>
          <w:b/>
          <w:i/>
        </w:rPr>
        <w:t>Gabriel Canizio</w:t>
      </w:r>
    </w:p>
    <w:p w:rsidR="004E4AF8" w:rsidRDefault="00D62302">
      <w:pPr>
        <w:spacing w:after="0" w:line="240" w:lineRule="auto"/>
        <w:jc w:val="center"/>
      </w:pPr>
      <w:r>
        <w:t>Estagiário</w:t>
      </w:r>
    </w:p>
    <w:p w:rsidR="004E4AF8" w:rsidRDefault="004E4AF8">
      <w:pPr>
        <w:spacing w:after="0" w:line="240" w:lineRule="auto"/>
        <w:jc w:val="center"/>
      </w:pPr>
    </w:p>
    <w:p w:rsidR="004E4AF8" w:rsidRDefault="00D62302">
      <w:pPr>
        <w:spacing w:after="0" w:line="240" w:lineRule="auto"/>
        <w:jc w:val="center"/>
        <w:rPr>
          <w:b/>
          <w:i/>
        </w:rPr>
      </w:pPr>
      <w:r>
        <w:rPr>
          <w:b/>
          <w:i/>
        </w:rPr>
        <w:t>Bruna Fonseca de Souza</w:t>
      </w:r>
    </w:p>
    <w:p w:rsidR="004E4AF8" w:rsidRDefault="00D62302">
      <w:pPr>
        <w:spacing w:after="0" w:line="240" w:lineRule="auto"/>
        <w:jc w:val="center"/>
      </w:pPr>
      <w:r>
        <w:t>Técnico de Processos</w:t>
      </w:r>
    </w:p>
    <w:p w:rsidR="004E4AF8" w:rsidRDefault="004E4AF8">
      <w:pPr>
        <w:spacing w:after="0" w:line="240" w:lineRule="auto"/>
        <w:jc w:val="center"/>
      </w:pPr>
    </w:p>
    <w:p w:rsidR="004E4AF8" w:rsidRDefault="00D62302">
      <w:pPr>
        <w:spacing w:after="0" w:line="240" w:lineRule="auto"/>
        <w:jc w:val="center"/>
        <w:rPr>
          <w:b/>
          <w:i/>
        </w:rPr>
      </w:pPr>
      <w:r>
        <w:rPr>
          <w:b/>
          <w:i/>
        </w:rPr>
        <w:t>Lucas Bezerra Félix</w:t>
      </w:r>
    </w:p>
    <w:p w:rsidR="004E4AF8" w:rsidRDefault="00D62302">
      <w:pPr>
        <w:spacing w:after="0" w:line="240" w:lineRule="auto"/>
        <w:jc w:val="center"/>
      </w:pPr>
      <w:r>
        <w:t>Técnico Judiciário</w:t>
      </w:r>
    </w:p>
    <w:p w:rsidR="004E4AF8" w:rsidRDefault="004E4AF8">
      <w:pPr>
        <w:spacing w:after="0" w:line="240" w:lineRule="auto"/>
        <w:jc w:val="center"/>
      </w:pPr>
    </w:p>
    <w:p w:rsidR="004E4AF8" w:rsidRDefault="00D62302">
      <w:pPr>
        <w:spacing w:after="0" w:line="240" w:lineRule="auto"/>
        <w:jc w:val="center"/>
        <w:rPr>
          <w:b/>
          <w:i/>
        </w:rPr>
      </w:pPr>
      <w:r>
        <w:rPr>
          <w:b/>
          <w:i/>
        </w:rPr>
        <w:t>Mário Robson Yamassaki Sassagawa</w:t>
      </w:r>
    </w:p>
    <w:p w:rsidR="004E4AF8" w:rsidRDefault="00D62302">
      <w:pPr>
        <w:spacing w:after="0" w:line="240" w:lineRule="auto"/>
        <w:jc w:val="center"/>
      </w:pPr>
      <w:r>
        <w:t>Técnico Judiciário</w:t>
      </w:r>
    </w:p>
    <w:p w:rsidR="004E4AF8" w:rsidRDefault="004E4AF8">
      <w:pPr>
        <w:spacing w:after="0" w:line="240" w:lineRule="auto"/>
        <w:jc w:val="center"/>
        <w:rPr>
          <w:b/>
        </w:rPr>
      </w:pPr>
    </w:p>
    <w:p w:rsidR="004E4AF8" w:rsidRDefault="00D62302">
      <w:pPr>
        <w:spacing w:after="0" w:line="240" w:lineRule="auto"/>
        <w:jc w:val="center"/>
        <w:rPr>
          <w:b/>
          <w:i/>
        </w:rPr>
      </w:pPr>
      <w:r>
        <w:rPr>
          <w:b/>
          <w:i/>
        </w:rPr>
        <w:t>Nivaldo Rodrigues da Silva</w:t>
      </w:r>
    </w:p>
    <w:p w:rsidR="004E4AF8" w:rsidRDefault="00D62302">
      <w:pPr>
        <w:spacing w:after="0" w:line="240" w:lineRule="auto"/>
        <w:jc w:val="center"/>
        <w:sectPr w:rsidR="004E4AF8">
          <w:pgSz w:w="11906" w:h="16838"/>
          <w:pgMar w:top="1134" w:right="1134" w:bottom="1134" w:left="1134" w:header="709" w:footer="709" w:gutter="0"/>
          <w:cols w:space="720"/>
        </w:sectPr>
      </w:pPr>
      <w:r>
        <w:t>Técnico Judiciário</w:t>
      </w:r>
    </w:p>
    <w:p w:rsidR="004E4AF8" w:rsidRDefault="004E4AF8">
      <w:pPr>
        <w:widowControl w:val="0"/>
        <w:pBdr>
          <w:top w:val="nil"/>
          <w:left w:val="nil"/>
          <w:bottom w:val="nil"/>
          <w:right w:val="nil"/>
          <w:between w:val="nil"/>
        </w:pBdr>
        <w:spacing w:after="0" w:line="276" w:lineRule="auto"/>
        <w:jc w:val="left"/>
      </w:pPr>
    </w:p>
    <w:p w:rsidR="004E4AF8" w:rsidRDefault="00D62302">
      <w:pPr>
        <w:jc w:val="center"/>
        <w:rPr>
          <w:rFonts w:ascii="Calibri" w:eastAsia="Calibri" w:hAnsi="Calibri" w:cs="Calibri"/>
        </w:rPr>
      </w:pPr>
      <w:r>
        <w:rPr>
          <w:noProof/>
        </w:rPr>
        <w:drawing>
          <wp:inline distT="0" distB="0" distL="0" distR="0">
            <wp:extent cx="2238375" cy="641350"/>
            <wp:effectExtent l="0" t="0" r="0" b="0"/>
            <wp:docPr id="2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a:srcRect/>
                    <a:stretch>
                      <a:fillRect/>
                    </a:stretch>
                  </pic:blipFill>
                  <pic:spPr>
                    <a:xfrm>
                      <a:off x="0" y="0"/>
                      <a:ext cx="2238375" cy="641350"/>
                    </a:xfrm>
                    <a:prstGeom prst="rect">
                      <a:avLst/>
                    </a:prstGeom>
                    <a:ln/>
                  </pic:spPr>
                </pic:pic>
              </a:graphicData>
            </a:graphic>
          </wp:inline>
        </w:drawing>
      </w:r>
    </w:p>
    <w:p w:rsidR="004E4AF8" w:rsidRDefault="004E4AF8">
      <w:pPr>
        <w:jc w:val="left"/>
      </w:pPr>
    </w:p>
    <w:p w:rsidR="004E4AF8" w:rsidRDefault="004E4AF8">
      <w:pPr>
        <w:jc w:val="left"/>
      </w:pPr>
    </w:p>
    <w:p w:rsidR="004E4AF8" w:rsidRDefault="004E4AF8">
      <w:pPr>
        <w:jc w:val="left"/>
      </w:pPr>
    </w:p>
    <w:p w:rsidR="004E4AF8" w:rsidRDefault="004E4AF8">
      <w:pPr>
        <w:jc w:val="left"/>
      </w:pPr>
    </w:p>
    <w:p w:rsidR="004E4AF8" w:rsidRDefault="004E4AF8">
      <w:pPr>
        <w:jc w:val="left"/>
      </w:pPr>
    </w:p>
    <w:p w:rsidR="004E4AF8" w:rsidRDefault="004E4AF8">
      <w:pPr>
        <w:jc w:val="left"/>
      </w:pPr>
    </w:p>
    <w:p w:rsidR="004E4AF8" w:rsidRDefault="004E4AF8">
      <w:pPr>
        <w:jc w:val="left"/>
      </w:pPr>
    </w:p>
    <w:p w:rsidR="004E4AF8" w:rsidRDefault="00D62302">
      <w:pPr>
        <w:pBdr>
          <w:top w:val="nil"/>
          <w:left w:val="nil"/>
          <w:bottom w:val="nil"/>
          <w:right w:val="nil"/>
          <w:between w:val="nil"/>
        </w:pBdr>
        <w:tabs>
          <w:tab w:val="center" w:pos="4252"/>
          <w:tab w:val="right" w:pos="8504"/>
        </w:tabs>
        <w:spacing w:after="0" w:line="240" w:lineRule="auto"/>
        <w:ind w:left="425"/>
        <w:jc w:val="center"/>
        <w:rPr>
          <w:color w:val="FFC000"/>
        </w:rPr>
      </w:pPr>
      <w:r>
        <w:rPr>
          <w:color w:val="FFC000"/>
        </w:rPr>
        <w:t>PODER JUDICIÁRIO DO ESTADO DO ACRE</w:t>
      </w:r>
    </w:p>
    <w:p w:rsidR="004E4AF8" w:rsidRDefault="00D62302">
      <w:pPr>
        <w:pBdr>
          <w:top w:val="nil"/>
          <w:left w:val="nil"/>
          <w:bottom w:val="nil"/>
          <w:right w:val="nil"/>
          <w:between w:val="nil"/>
        </w:pBdr>
        <w:tabs>
          <w:tab w:val="center" w:pos="4252"/>
          <w:tab w:val="right" w:pos="8504"/>
        </w:tabs>
        <w:spacing w:after="0" w:line="240" w:lineRule="auto"/>
        <w:ind w:left="425"/>
        <w:jc w:val="center"/>
        <w:rPr>
          <w:b/>
          <w:color w:val="000000"/>
        </w:rPr>
      </w:pPr>
      <w:r>
        <w:rPr>
          <w:b/>
          <w:color w:val="000000"/>
        </w:rPr>
        <w:t>TRIBUNAL DE JUSTIÇA</w:t>
      </w:r>
    </w:p>
    <w:p w:rsidR="004E4AF8" w:rsidRDefault="00D62302">
      <w:pPr>
        <w:pBdr>
          <w:top w:val="nil"/>
          <w:left w:val="nil"/>
          <w:bottom w:val="nil"/>
          <w:right w:val="nil"/>
          <w:between w:val="nil"/>
        </w:pBdr>
        <w:tabs>
          <w:tab w:val="center" w:pos="4252"/>
          <w:tab w:val="right" w:pos="8504"/>
        </w:tabs>
        <w:spacing w:after="0" w:line="240" w:lineRule="auto"/>
        <w:ind w:left="425"/>
        <w:jc w:val="center"/>
        <w:rPr>
          <w:b/>
          <w:color w:val="000000"/>
        </w:rPr>
      </w:pPr>
      <w:r>
        <w:rPr>
          <w:b/>
          <w:color w:val="000000"/>
        </w:rPr>
        <w:t>Diretoria de Tecnologia da Informação</w:t>
      </w:r>
    </w:p>
    <w:p w:rsidR="004E4AF8" w:rsidRDefault="004E4AF8">
      <w:pPr>
        <w:pBdr>
          <w:top w:val="nil"/>
          <w:left w:val="nil"/>
          <w:bottom w:val="nil"/>
          <w:right w:val="nil"/>
          <w:between w:val="nil"/>
        </w:pBdr>
        <w:spacing w:before="480" w:after="60" w:line="240" w:lineRule="auto"/>
        <w:ind w:left="144" w:right="144"/>
        <w:jc w:val="left"/>
        <w:rPr>
          <w:rFonts w:ascii="Calibri" w:eastAsia="Calibri" w:hAnsi="Calibri" w:cs="Calibri"/>
          <w:color w:val="595959"/>
          <w:sz w:val="20"/>
          <w:szCs w:val="20"/>
        </w:rPr>
      </w:pPr>
    </w:p>
    <w:p w:rsidR="004E4AF8" w:rsidRDefault="004E4AF8">
      <w:pPr>
        <w:pBdr>
          <w:top w:val="nil"/>
          <w:left w:val="nil"/>
          <w:bottom w:val="nil"/>
          <w:right w:val="nil"/>
          <w:between w:val="nil"/>
        </w:pBdr>
        <w:spacing w:before="480" w:after="60" w:line="240" w:lineRule="auto"/>
        <w:ind w:left="144" w:right="144"/>
        <w:jc w:val="left"/>
        <w:rPr>
          <w:rFonts w:ascii="Calibri" w:eastAsia="Calibri" w:hAnsi="Calibri" w:cs="Calibri"/>
          <w:color w:val="595959"/>
          <w:sz w:val="20"/>
          <w:szCs w:val="20"/>
        </w:rPr>
      </w:pPr>
    </w:p>
    <w:p w:rsidR="004E4AF8" w:rsidRDefault="004E4AF8">
      <w:pPr>
        <w:pBdr>
          <w:top w:val="nil"/>
          <w:left w:val="nil"/>
          <w:bottom w:val="nil"/>
          <w:right w:val="nil"/>
          <w:between w:val="nil"/>
        </w:pBdr>
        <w:spacing w:before="480" w:after="60" w:line="240" w:lineRule="auto"/>
        <w:ind w:left="144" w:right="144"/>
        <w:jc w:val="left"/>
        <w:rPr>
          <w:rFonts w:ascii="Calibri" w:eastAsia="Calibri" w:hAnsi="Calibri" w:cs="Calibri"/>
          <w:color w:val="595959"/>
          <w:sz w:val="20"/>
          <w:szCs w:val="20"/>
        </w:rPr>
      </w:pPr>
    </w:p>
    <w:p w:rsidR="004E4AF8" w:rsidRDefault="004E4AF8">
      <w:pPr>
        <w:pBdr>
          <w:top w:val="nil"/>
          <w:left w:val="nil"/>
          <w:bottom w:val="nil"/>
          <w:right w:val="nil"/>
          <w:between w:val="nil"/>
        </w:pBdr>
        <w:spacing w:before="480" w:after="60" w:line="240" w:lineRule="auto"/>
        <w:ind w:left="144" w:right="144"/>
        <w:jc w:val="left"/>
        <w:rPr>
          <w:rFonts w:ascii="Calibri" w:eastAsia="Calibri" w:hAnsi="Calibri" w:cs="Calibri"/>
          <w:color w:val="595959"/>
          <w:sz w:val="20"/>
          <w:szCs w:val="20"/>
        </w:rPr>
      </w:pPr>
    </w:p>
    <w:p w:rsidR="004E4AF8" w:rsidRDefault="004E4AF8">
      <w:pPr>
        <w:pBdr>
          <w:top w:val="nil"/>
          <w:left w:val="nil"/>
          <w:bottom w:val="nil"/>
          <w:right w:val="nil"/>
          <w:between w:val="nil"/>
        </w:pBdr>
        <w:spacing w:before="480" w:after="60" w:line="240" w:lineRule="auto"/>
        <w:ind w:left="144" w:right="144"/>
        <w:jc w:val="left"/>
        <w:rPr>
          <w:rFonts w:ascii="Calibri" w:eastAsia="Calibri" w:hAnsi="Calibri" w:cs="Calibri"/>
          <w:color w:val="595959"/>
          <w:sz w:val="20"/>
          <w:szCs w:val="20"/>
        </w:rPr>
      </w:pPr>
    </w:p>
    <w:p w:rsidR="004E4AF8" w:rsidRDefault="004E4AF8">
      <w:pPr>
        <w:pBdr>
          <w:top w:val="nil"/>
          <w:left w:val="nil"/>
          <w:bottom w:val="nil"/>
          <w:right w:val="nil"/>
          <w:between w:val="nil"/>
        </w:pBdr>
        <w:spacing w:before="480" w:after="60" w:line="240" w:lineRule="auto"/>
        <w:ind w:left="144" w:right="144"/>
        <w:jc w:val="left"/>
        <w:rPr>
          <w:rFonts w:ascii="Calibri" w:eastAsia="Calibri" w:hAnsi="Calibri" w:cs="Calibri"/>
          <w:color w:val="595959"/>
          <w:sz w:val="20"/>
          <w:szCs w:val="20"/>
        </w:rPr>
      </w:pPr>
    </w:p>
    <w:p w:rsidR="004E4AF8" w:rsidRDefault="004E4AF8">
      <w:pPr>
        <w:pBdr>
          <w:top w:val="nil"/>
          <w:left w:val="nil"/>
          <w:bottom w:val="nil"/>
          <w:right w:val="nil"/>
          <w:between w:val="nil"/>
        </w:pBdr>
        <w:spacing w:before="480" w:after="60" w:line="240" w:lineRule="auto"/>
        <w:ind w:left="144" w:right="144"/>
        <w:jc w:val="left"/>
        <w:rPr>
          <w:rFonts w:ascii="Calibri" w:eastAsia="Calibri" w:hAnsi="Calibri" w:cs="Calibri"/>
          <w:color w:val="595959"/>
          <w:sz w:val="20"/>
          <w:szCs w:val="20"/>
        </w:rPr>
      </w:pPr>
    </w:p>
    <w:p w:rsidR="004E4AF8" w:rsidRDefault="004E4AF8">
      <w:pPr>
        <w:pBdr>
          <w:top w:val="nil"/>
          <w:left w:val="nil"/>
          <w:bottom w:val="nil"/>
          <w:right w:val="nil"/>
          <w:between w:val="nil"/>
        </w:pBdr>
        <w:spacing w:before="480" w:after="60" w:line="240" w:lineRule="auto"/>
        <w:ind w:left="144" w:right="144"/>
        <w:jc w:val="left"/>
        <w:rPr>
          <w:rFonts w:ascii="Calibri" w:eastAsia="Calibri" w:hAnsi="Calibri" w:cs="Calibri"/>
          <w:color w:val="595959"/>
          <w:sz w:val="20"/>
          <w:szCs w:val="20"/>
        </w:rPr>
      </w:pPr>
    </w:p>
    <w:p w:rsidR="004E4AF8" w:rsidRDefault="00D62302">
      <w:pPr>
        <w:pBdr>
          <w:top w:val="nil"/>
          <w:left w:val="nil"/>
          <w:bottom w:val="nil"/>
          <w:right w:val="nil"/>
          <w:between w:val="nil"/>
        </w:pBdr>
        <w:tabs>
          <w:tab w:val="center" w:pos="4252"/>
          <w:tab w:val="right" w:pos="8504"/>
        </w:tabs>
        <w:spacing w:after="0" w:line="240" w:lineRule="auto"/>
        <w:ind w:left="425"/>
        <w:jc w:val="center"/>
        <w:rPr>
          <w:color w:val="FFC000"/>
        </w:rPr>
      </w:pPr>
      <w:hyperlink r:id="rId58">
        <w:r>
          <w:rPr>
            <w:color w:val="FFC000"/>
            <w:u w:val="single"/>
          </w:rPr>
          <w:t>www.tjac.jus.br</w:t>
        </w:r>
      </w:hyperlink>
    </w:p>
    <w:p w:rsidR="004E4AF8" w:rsidRDefault="00D62302">
      <w:pPr>
        <w:pBdr>
          <w:top w:val="nil"/>
          <w:left w:val="nil"/>
          <w:bottom w:val="nil"/>
          <w:right w:val="nil"/>
          <w:between w:val="nil"/>
        </w:pBdr>
        <w:spacing w:after="0" w:line="240" w:lineRule="auto"/>
        <w:ind w:left="144" w:right="144"/>
        <w:jc w:val="center"/>
        <w:rPr>
          <w:color w:val="000000"/>
          <w:sz w:val="20"/>
          <w:szCs w:val="20"/>
        </w:rPr>
      </w:pPr>
      <w:r>
        <w:rPr>
          <w:color w:val="000000"/>
          <w:sz w:val="20"/>
          <w:szCs w:val="20"/>
        </w:rPr>
        <w:t>Rua Tribunal de Justiça, s/n. Via Verde. 69.920-193</w:t>
      </w:r>
    </w:p>
    <w:p w:rsidR="004E4AF8" w:rsidRDefault="00D62302">
      <w:pPr>
        <w:pBdr>
          <w:top w:val="nil"/>
          <w:left w:val="nil"/>
          <w:bottom w:val="nil"/>
          <w:right w:val="nil"/>
          <w:between w:val="nil"/>
        </w:pBdr>
        <w:spacing w:after="0" w:line="240" w:lineRule="auto"/>
        <w:ind w:left="144" w:right="144"/>
        <w:jc w:val="center"/>
        <w:rPr>
          <w:rFonts w:ascii="Calibri" w:eastAsia="Calibri" w:hAnsi="Calibri" w:cs="Calibri"/>
          <w:color w:val="595959"/>
          <w:sz w:val="20"/>
          <w:szCs w:val="20"/>
        </w:rPr>
      </w:pPr>
      <w:r>
        <w:rPr>
          <w:color w:val="000000"/>
          <w:sz w:val="20"/>
          <w:szCs w:val="20"/>
        </w:rPr>
        <w:t>Rio Branco-AC | (68) 3302-0360 / 3302-0361</w:t>
      </w:r>
    </w:p>
    <w:p w:rsidR="004E4AF8" w:rsidRDefault="004E4AF8">
      <w:bookmarkStart w:id="36" w:name="_heading=h.34g0dwd" w:colFirst="0" w:colLast="0"/>
      <w:bookmarkEnd w:id="36"/>
    </w:p>
    <w:sectPr w:rsidR="004E4AF8">
      <w:headerReference w:type="default" r:id="rId59"/>
      <w:footerReference w:type="default" r:id="rId60"/>
      <w:pgSz w:w="11906" w:h="16838"/>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302" w:rsidRDefault="00D62302">
      <w:pPr>
        <w:spacing w:after="0" w:line="240" w:lineRule="auto"/>
      </w:pPr>
      <w:r>
        <w:separator/>
      </w:r>
    </w:p>
  </w:endnote>
  <w:endnote w:type="continuationSeparator" w:id="0">
    <w:p w:rsidR="00D62302" w:rsidRDefault="00D62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AF8" w:rsidRDefault="004E4AF8">
    <w:pPr>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AF8" w:rsidRDefault="00D62302">
    <w:pPr>
      <w:pBdr>
        <w:top w:val="single" w:sz="4" w:space="1" w:color="000000"/>
        <w:left w:val="nil"/>
        <w:bottom w:val="nil"/>
        <w:right w:val="nil"/>
        <w:between w:val="nil"/>
      </w:pBdr>
      <w:tabs>
        <w:tab w:val="center" w:pos="4252"/>
        <w:tab w:val="right" w:pos="8504"/>
      </w:tabs>
      <w:spacing w:after="0" w:line="240" w:lineRule="auto"/>
      <w:jc w:val="right"/>
      <w:rPr>
        <w:color w:val="000000"/>
      </w:rPr>
    </w:pPr>
    <w:r>
      <w:rPr>
        <w:color w:val="0F6FC6"/>
        <w:sz w:val="20"/>
        <w:szCs w:val="20"/>
      </w:rPr>
      <w:fldChar w:fldCharType="begin"/>
    </w:r>
    <w:r>
      <w:rPr>
        <w:color w:val="0F6FC6"/>
        <w:sz w:val="20"/>
        <w:szCs w:val="20"/>
      </w:rPr>
      <w:instrText>PAGE</w:instrText>
    </w:r>
    <w:r w:rsidR="007207B7">
      <w:rPr>
        <w:color w:val="0F6FC6"/>
        <w:sz w:val="20"/>
        <w:szCs w:val="20"/>
      </w:rPr>
      <w:fldChar w:fldCharType="separate"/>
    </w:r>
    <w:r w:rsidR="00B44819">
      <w:rPr>
        <w:noProof/>
        <w:color w:val="0F6FC6"/>
        <w:sz w:val="20"/>
        <w:szCs w:val="20"/>
      </w:rPr>
      <w:t>28</w:t>
    </w:r>
    <w:r>
      <w:rPr>
        <w:color w:val="0F6FC6"/>
        <w:sz w:val="20"/>
        <w:szCs w:val="20"/>
      </w:rPr>
      <w:fldChar w:fldCharType="end"/>
    </w:r>
  </w:p>
  <w:p w:rsidR="004E4AF8" w:rsidRDefault="004E4AF8">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AF8" w:rsidRDefault="004E4AF8">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302" w:rsidRDefault="00D62302">
      <w:pPr>
        <w:spacing w:after="0" w:line="240" w:lineRule="auto"/>
      </w:pPr>
      <w:r>
        <w:separator/>
      </w:r>
    </w:p>
  </w:footnote>
  <w:footnote w:type="continuationSeparator" w:id="0">
    <w:p w:rsidR="00D62302" w:rsidRDefault="00D62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AF8" w:rsidRDefault="004E4AF8">
    <w:pPr>
      <w:widowControl w:val="0"/>
      <w:pBdr>
        <w:top w:val="nil"/>
        <w:left w:val="nil"/>
        <w:bottom w:val="nil"/>
        <w:right w:val="nil"/>
        <w:between w:val="nil"/>
      </w:pBdr>
      <w:spacing w:after="0" w:line="276" w:lineRule="auto"/>
      <w:jc w:val="left"/>
      <w:rPr>
        <w:color w:val="000000"/>
      </w:rPr>
    </w:pPr>
  </w:p>
  <w:tbl>
    <w:tblPr>
      <w:tblStyle w:val="affffffffffffffffffff0"/>
      <w:tblW w:w="906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4"/>
      <w:gridCol w:w="996"/>
      <w:gridCol w:w="3537"/>
    </w:tblGrid>
    <w:tr w:rsidR="004E4AF8">
      <w:trPr>
        <w:trHeight w:val="572"/>
      </w:trPr>
      <w:tc>
        <w:tcPr>
          <w:tcW w:w="4534" w:type="dxa"/>
          <w:tcBorders>
            <w:right w:val="single" w:sz="18" w:space="0" w:color="A6A6A6"/>
          </w:tcBorders>
          <w:shd w:val="clear" w:color="auto" w:fill="auto"/>
          <w:vAlign w:val="center"/>
        </w:tcPr>
        <w:p w:rsidR="004E4AF8" w:rsidRDefault="00D62302">
          <w:pPr>
            <w:rPr>
              <w:b/>
              <w:sz w:val="16"/>
              <w:szCs w:val="16"/>
            </w:rPr>
          </w:pPr>
          <w:r>
            <w:rPr>
              <w:b/>
              <w:sz w:val="16"/>
              <w:szCs w:val="16"/>
            </w:rPr>
            <w:t>PLANO DE CONTRATAÇÕES DE SOLUÇÕES DE TIC</w:t>
          </w:r>
        </w:p>
      </w:tc>
      <w:tc>
        <w:tcPr>
          <w:tcW w:w="996" w:type="dxa"/>
          <w:tcBorders>
            <w:left w:val="single" w:sz="18" w:space="0" w:color="A6A6A6"/>
          </w:tcBorders>
          <w:shd w:val="clear" w:color="auto" w:fill="auto"/>
          <w:vAlign w:val="center"/>
        </w:tcPr>
        <w:p w:rsidR="004E4AF8" w:rsidRDefault="00D62302">
          <w:pPr>
            <w:rPr>
              <w:sz w:val="2"/>
              <w:szCs w:val="2"/>
            </w:rPr>
          </w:pPr>
          <w:r>
            <w:rPr>
              <w:noProof/>
            </w:rPr>
            <w:drawing>
              <wp:inline distT="0" distB="0" distL="0" distR="0">
                <wp:extent cx="489585" cy="478790"/>
                <wp:effectExtent l="0" t="0" r="0" b="0"/>
                <wp:docPr id="2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89585" cy="478790"/>
                        </a:xfrm>
                        <a:prstGeom prst="rect">
                          <a:avLst/>
                        </a:prstGeom>
                        <a:ln/>
                      </pic:spPr>
                    </pic:pic>
                  </a:graphicData>
                </a:graphic>
              </wp:inline>
            </w:drawing>
          </w:r>
        </w:p>
      </w:tc>
      <w:tc>
        <w:tcPr>
          <w:tcW w:w="3537" w:type="dxa"/>
          <w:shd w:val="clear" w:color="auto" w:fill="auto"/>
          <w:vAlign w:val="center"/>
        </w:tcPr>
        <w:p w:rsidR="004E4AF8" w:rsidRDefault="00D62302">
          <w:pPr>
            <w:rPr>
              <w:sz w:val="16"/>
              <w:szCs w:val="16"/>
            </w:rPr>
          </w:pPr>
          <w:r>
            <w:rPr>
              <w:sz w:val="16"/>
              <w:szCs w:val="16"/>
            </w:rPr>
            <w:t>PODER JUDICIÁRIO DO ESTADO DO ACRE</w:t>
          </w:r>
        </w:p>
        <w:p w:rsidR="004E4AF8" w:rsidRDefault="00D62302">
          <w:pPr>
            <w:rPr>
              <w:b/>
              <w:sz w:val="14"/>
              <w:szCs w:val="14"/>
            </w:rPr>
          </w:pPr>
          <w:r>
            <w:rPr>
              <w:b/>
              <w:sz w:val="16"/>
              <w:szCs w:val="16"/>
            </w:rPr>
            <w:t>TRIBUNAL DE JUSTIÇA</w:t>
          </w:r>
        </w:p>
      </w:tc>
    </w:tr>
  </w:tbl>
  <w:p w:rsidR="004E4AF8" w:rsidRDefault="004E4AF8">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AF8" w:rsidRDefault="004E4AF8">
    <w:pPr>
      <w:widowControl w:val="0"/>
      <w:pBdr>
        <w:top w:val="nil"/>
        <w:left w:val="nil"/>
        <w:bottom w:val="nil"/>
        <w:right w:val="nil"/>
        <w:between w:val="nil"/>
      </w:pBdr>
      <w:spacing w:after="0" w:line="276" w:lineRule="auto"/>
      <w:jc w:val="left"/>
    </w:pPr>
  </w:p>
  <w:tbl>
    <w:tblPr>
      <w:tblStyle w:val="affffffffffffffffffff1"/>
      <w:tblW w:w="96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20"/>
      <w:gridCol w:w="990"/>
      <w:gridCol w:w="3750"/>
    </w:tblGrid>
    <w:tr w:rsidR="004E4AF8">
      <w:trPr>
        <w:trHeight w:val="572"/>
      </w:trPr>
      <w:tc>
        <w:tcPr>
          <w:tcW w:w="4920" w:type="dxa"/>
          <w:tcBorders>
            <w:right w:val="single" w:sz="18" w:space="0" w:color="A6A6A6"/>
          </w:tcBorders>
          <w:shd w:val="clear" w:color="auto" w:fill="auto"/>
          <w:vAlign w:val="center"/>
        </w:tcPr>
        <w:p w:rsidR="004E4AF8" w:rsidRDefault="00D62302">
          <w:pPr>
            <w:rPr>
              <w:b/>
              <w:sz w:val="16"/>
              <w:szCs w:val="16"/>
            </w:rPr>
          </w:pPr>
          <w:r>
            <w:rPr>
              <w:b/>
              <w:sz w:val="16"/>
              <w:szCs w:val="16"/>
            </w:rPr>
            <w:t>PLANO DE CONTRATAÇÕES DE SOLUÇÕES DE TIC</w:t>
          </w:r>
        </w:p>
      </w:tc>
      <w:tc>
        <w:tcPr>
          <w:tcW w:w="990" w:type="dxa"/>
          <w:tcBorders>
            <w:left w:val="single" w:sz="18" w:space="0" w:color="A6A6A6"/>
          </w:tcBorders>
          <w:shd w:val="clear" w:color="auto" w:fill="auto"/>
          <w:vAlign w:val="center"/>
        </w:tcPr>
        <w:p w:rsidR="004E4AF8" w:rsidRDefault="00D62302">
          <w:pPr>
            <w:rPr>
              <w:sz w:val="2"/>
              <w:szCs w:val="2"/>
            </w:rPr>
          </w:pPr>
          <w:r>
            <w:rPr>
              <w:noProof/>
            </w:rPr>
            <w:drawing>
              <wp:inline distT="0" distB="0" distL="0" distR="0">
                <wp:extent cx="489585" cy="478790"/>
                <wp:effectExtent l="0" t="0" r="0" b="0"/>
                <wp:docPr id="2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89585" cy="478790"/>
                        </a:xfrm>
                        <a:prstGeom prst="rect">
                          <a:avLst/>
                        </a:prstGeom>
                        <a:ln/>
                      </pic:spPr>
                    </pic:pic>
                  </a:graphicData>
                </a:graphic>
              </wp:inline>
            </w:drawing>
          </w:r>
        </w:p>
      </w:tc>
      <w:tc>
        <w:tcPr>
          <w:tcW w:w="3750" w:type="dxa"/>
          <w:shd w:val="clear" w:color="auto" w:fill="auto"/>
          <w:vAlign w:val="center"/>
        </w:tcPr>
        <w:p w:rsidR="004E4AF8" w:rsidRDefault="00D62302">
          <w:pPr>
            <w:rPr>
              <w:sz w:val="16"/>
              <w:szCs w:val="16"/>
            </w:rPr>
          </w:pPr>
          <w:r>
            <w:rPr>
              <w:sz w:val="16"/>
              <w:szCs w:val="16"/>
            </w:rPr>
            <w:t>PODER JUDICIÁRIO DO ESTADO DO ACRE</w:t>
          </w:r>
        </w:p>
        <w:p w:rsidR="004E4AF8" w:rsidRDefault="00D62302">
          <w:pPr>
            <w:rPr>
              <w:b/>
              <w:sz w:val="14"/>
              <w:szCs w:val="14"/>
            </w:rPr>
          </w:pPr>
          <w:r>
            <w:rPr>
              <w:b/>
              <w:sz w:val="16"/>
              <w:szCs w:val="16"/>
            </w:rPr>
            <w:t>TRIBUNAL DE JUSTIÇA</w:t>
          </w:r>
        </w:p>
      </w:tc>
    </w:tr>
  </w:tbl>
  <w:p w:rsidR="004E4AF8" w:rsidRDefault="004E4AF8">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AF8" w:rsidRDefault="004E4AF8">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7B2F1C"/>
    <w:multiLevelType w:val="multilevel"/>
    <w:tmpl w:val="20BAC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D793E01"/>
    <w:multiLevelType w:val="multilevel"/>
    <w:tmpl w:val="C6A40F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522A72"/>
    <w:multiLevelType w:val="multilevel"/>
    <w:tmpl w:val="0F9425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7222634"/>
    <w:multiLevelType w:val="multilevel"/>
    <w:tmpl w:val="87CE57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F24C94"/>
    <w:multiLevelType w:val="multilevel"/>
    <w:tmpl w:val="21DEAFA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3BE6FA0"/>
    <w:multiLevelType w:val="multilevel"/>
    <w:tmpl w:val="3D94E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AF8"/>
    <w:rsid w:val="004E4AF8"/>
    <w:rsid w:val="007207B7"/>
    <w:rsid w:val="00B44819"/>
    <w:rsid w:val="00D623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1E7D6"/>
  <w15:docId w15:val="{AB544307-8066-4FC6-846E-DCF5117A7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pt-BR" w:eastAsia="pt-BR"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9C9"/>
  </w:style>
  <w:style w:type="paragraph" w:styleId="Ttulo1">
    <w:name w:val="heading 1"/>
    <w:basedOn w:val="Normal"/>
    <w:next w:val="Normal"/>
    <w:link w:val="Ttulo1Char"/>
    <w:uiPriority w:val="9"/>
    <w:qFormat/>
    <w:rsid w:val="003E077C"/>
    <w:pPr>
      <w:keepNext/>
      <w:keepLines/>
      <w:numPr>
        <w:numId w:val="6"/>
      </w:numPr>
      <w:spacing w:before="240" w:after="120"/>
      <w:outlineLvl w:val="0"/>
    </w:pPr>
    <w:rPr>
      <w:rFonts w:ascii="Bahnschrift" w:eastAsiaTheme="majorEastAsia" w:hAnsi="Bahnschrift" w:cstheme="majorBidi"/>
      <w:b/>
      <w:caps/>
      <w:color w:val="2191C9" w:themeColor="background2" w:themeShade="80"/>
      <w:sz w:val="28"/>
      <w:szCs w:val="32"/>
    </w:rPr>
  </w:style>
  <w:style w:type="paragraph" w:styleId="Ttulo2">
    <w:name w:val="heading 2"/>
    <w:basedOn w:val="Ttulo1"/>
    <w:next w:val="Normal"/>
    <w:link w:val="Ttulo2Char"/>
    <w:uiPriority w:val="9"/>
    <w:unhideWhenUsed/>
    <w:qFormat/>
    <w:rsid w:val="00F36200"/>
    <w:pPr>
      <w:numPr>
        <w:ilvl w:val="1"/>
      </w:numPr>
      <w:ind w:left="426"/>
      <w:outlineLvl w:val="1"/>
    </w:pPr>
    <w:rPr>
      <w:b w:val="0"/>
    </w:rPr>
  </w:style>
  <w:style w:type="paragraph" w:styleId="Ttulo3">
    <w:name w:val="heading 3"/>
    <w:basedOn w:val="Ttulo2"/>
    <w:next w:val="Normal"/>
    <w:link w:val="Ttulo3Char"/>
    <w:uiPriority w:val="9"/>
    <w:unhideWhenUsed/>
    <w:qFormat/>
    <w:rsid w:val="00F36200"/>
    <w:pPr>
      <w:numPr>
        <w:ilvl w:val="2"/>
      </w:numPr>
      <w:ind w:left="504"/>
      <w:outlineLvl w:val="2"/>
    </w:pPr>
    <w:rPr>
      <w:b/>
      <w:caps w:val="0"/>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Cabealho">
    <w:name w:val="header"/>
    <w:basedOn w:val="Normal"/>
    <w:link w:val="CabealhoChar"/>
    <w:uiPriority w:val="99"/>
    <w:unhideWhenUsed/>
    <w:rsid w:val="008F2CD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F2CD7"/>
  </w:style>
  <w:style w:type="paragraph" w:styleId="Rodap">
    <w:name w:val="footer"/>
    <w:basedOn w:val="Normal"/>
    <w:link w:val="RodapChar"/>
    <w:uiPriority w:val="99"/>
    <w:unhideWhenUsed/>
    <w:rsid w:val="008F2CD7"/>
    <w:pPr>
      <w:tabs>
        <w:tab w:val="center" w:pos="4252"/>
        <w:tab w:val="right" w:pos="8504"/>
      </w:tabs>
      <w:spacing w:after="0" w:line="240" w:lineRule="auto"/>
    </w:pPr>
  </w:style>
  <w:style w:type="character" w:customStyle="1" w:styleId="RodapChar">
    <w:name w:val="Rodapé Char"/>
    <w:basedOn w:val="Fontepargpadro"/>
    <w:link w:val="Rodap"/>
    <w:uiPriority w:val="99"/>
    <w:rsid w:val="008F2CD7"/>
  </w:style>
  <w:style w:type="paragraph" w:styleId="PargrafodaLista">
    <w:name w:val="List Paragraph"/>
    <w:basedOn w:val="Normal"/>
    <w:uiPriority w:val="34"/>
    <w:qFormat/>
    <w:rsid w:val="00672192"/>
    <w:pPr>
      <w:ind w:left="720"/>
      <w:contextualSpacing/>
    </w:pPr>
  </w:style>
  <w:style w:type="paragraph" w:customStyle="1" w:styleId="Listacommarcadores">
    <w:name w:val="Lista com marcadores"/>
    <w:basedOn w:val="Normal"/>
    <w:rsid w:val="00672192"/>
  </w:style>
  <w:style w:type="character" w:customStyle="1" w:styleId="Ttulo1Char">
    <w:name w:val="Título 1 Char"/>
    <w:basedOn w:val="Fontepargpadro"/>
    <w:link w:val="Ttulo1"/>
    <w:uiPriority w:val="9"/>
    <w:rsid w:val="003E077C"/>
    <w:rPr>
      <w:rFonts w:ascii="Bahnschrift" w:eastAsiaTheme="majorEastAsia" w:hAnsi="Bahnschrift" w:cstheme="majorBidi"/>
      <w:b/>
      <w:caps/>
      <w:color w:val="2191C9" w:themeColor="background2" w:themeShade="80"/>
      <w:sz w:val="28"/>
      <w:szCs w:val="32"/>
    </w:rPr>
  </w:style>
  <w:style w:type="character" w:customStyle="1" w:styleId="Ttulo2Char">
    <w:name w:val="Título 2 Char"/>
    <w:basedOn w:val="Fontepargpadro"/>
    <w:link w:val="Ttulo2"/>
    <w:uiPriority w:val="9"/>
    <w:rsid w:val="00F36200"/>
    <w:rPr>
      <w:rFonts w:ascii="Bahnschrift" w:eastAsiaTheme="majorEastAsia" w:hAnsi="Bahnschrift" w:cstheme="majorBidi"/>
      <w:caps/>
      <w:color w:val="2191C9" w:themeColor="background2" w:themeShade="80"/>
      <w:sz w:val="28"/>
      <w:szCs w:val="32"/>
    </w:rPr>
  </w:style>
  <w:style w:type="character" w:customStyle="1" w:styleId="Ttulo3Char">
    <w:name w:val="Título 3 Char"/>
    <w:basedOn w:val="Fontepargpadro"/>
    <w:link w:val="Ttulo3"/>
    <w:uiPriority w:val="9"/>
    <w:rsid w:val="00F36200"/>
    <w:rPr>
      <w:rFonts w:ascii="Bahnschrift" w:eastAsiaTheme="majorEastAsia" w:hAnsi="Bahnschrift" w:cstheme="majorBidi"/>
      <w:b/>
      <w:color w:val="2191C9" w:themeColor="background2" w:themeShade="80"/>
      <w:sz w:val="28"/>
      <w:szCs w:val="32"/>
    </w:rPr>
  </w:style>
  <w:style w:type="paragraph" w:styleId="SemEspaamento">
    <w:name w:val="No Spacing"/>
    <w:link w:val="SemEspaamentoChar"/>
    <w:uiPriority w:val="1"/>
    <w:qFormat/>
    <w:rsid w:val="00061F83"/>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061F83"/>
    <w:rPr>
      <w:rFonts w:eastAsiaTheme="minorEastAsia"/>
      <w:lang w:eastAsia="pt-BR"/>
    </w:rPr>
  </w:style>
  <w:style w:type="table" w:styleId="Tabelacomgrade">
    <w:name w:val="Table Grid"/>
    <w:basedOn w:val="Tabelanormal"/>
    <w:uiPriority w:val="39"/>
    <w:rsid w:val="00EB4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3D3467"/>
    <w:pPr>
      <w:numPr>
        <w:numId w:val="0"/>
      </w:numPr>
      <w:spacing w:after="0"/>
      <w:jc w:val="left"/>
      <w:outlineLvl w:val="9"/>
    </w:pPr>
    <w:rPr>
      <w:rFonts w:asciiTheme="majorHAnsi" w:hAnsiTheme="majorHAnsi"/>
      <w:b w:val="0"/>
      <w:caps w:val="0"/>
      <w:color w:val="0B5294" w:themeColor="accent1" w:themeShade="BF"/>
      <w:sz w:val="32"/>
    </w:rPr>
  </w:style>
  <w:style w:type="paragraph" w:styleId="Sumrio1">
    <w:name w:val="toc 1"/>
    <w:basedOn w:val="Normal"/>
    <w:next w:val="Normal"/>
    <w:autoRedefine/>
    <w:uiPriority w:val="39"/>
    <w:unhideWhenUsed/>
    <w:rsid w:val="00A6642E"/>
    <w:pPr>
      <w:tabs>
        <w:tab w:val="left" w:pos="440"/>
        <w:tab w:val="right" w:leader="dot" w:pos="8494"/>
      </w:tabs>
      <w:spacing w:after="100" w:line="240" w:lineRule="auto"/>
    </w:pPr>
  </w:style>
  <w:style w:type="paragraph" w:styleId="Sumrio2">
    <w:name w:val="toc 2"/>
    <w:basedOn w:val="Normal"/>
    <w:next w:val="Normal"/>
    <w:autoRedefine/>
    <w:uiPriority w:val="39"/>
    <w:unhideWhenUsed/>
    <w:rsid w:val="003D3467"/>
    <w:pPr>
      <w:spacing w:after="100"/>
      <w:ind w:left="220"/>
    </w:pPr>
  </w:style>
  <w:style w:type="paragraph" w:styleId="Sumrio3">
    <w:name w:val="toc 3"/>
    <w:basedOn w:val="Normal"/>
    <w:next w:val="Normal"/>
    <w:autoRedefine/>
    <w:uiPriority w:val="39"/>
    <w:unhideWhenUsed/>
    <w:rsid w:val="003D3467"/>
    <w:pPr>
      <w:spacing w:after="100"/>
      <w:ind w:left="440"/>
    </w:pPr>
  </w:style>
  <w:style w:type="character" w:styleId="Hyperlink">
    <w:name w:val="Hyperlink"/>
    <w:basedOn w:val="Fontepargpadro"/>
    <w:uiPriority w:val="99"/>
    <w:unhideWhenUsed/>
    <w:rsid w:val="003D3467"/>
    <w:rPr>
      <w:color w:val="F49100" w:themeColor="hyperlink"/>
      <w:u w:val="single"/>
    </w:rPr>
  </w:style>
  <w:style w:type="paragraph" w:styleId="Legenda">
    <w:name w:val="caption"/>
    <w:basedOn w:val="Normal"/>
    <w:next w:val="Normal"/>
    <w:uiPriority w:val="35"/>
    <w:unhideWhenUsed/>
    <w:qFormat/>
    <w:rsid w:val="00023081"/>
    <w:pPr>
      <w:spacing w:after="200" w:line="240" w:lineRule="auto"/>
    </w:pPr>
    <w:rPr>
      <w:i/>
      <w:iCs/>
      <w:color w:val="17406D" w:themeColor="text2"/>
      <w:sz w:val="18"/>
      <w:szCs w:val="18"/>
    </w:rPr>
  </w:style>
  <w:style w:type="table" w:styleId="TabeladeGrade4-nfase1">
    <w:name w:val="Grid Table 4 Accent 1"/>
    <w:basedOn w:val="Tabelanormal"/>
    <w:uiPriority w:val="49"/>
    <w:rsid w:val="009C6BD0"/>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ndicedeilustraes">
    <w:name w:val="table of figures"/>
    <w:basedOn w:val="Normal"/>
    <w:next w:val="Normal"/>
    <w:uiPriority w:val="99"/>
    <w:unhideWhenUsed/>
    <w:rsid w:val="004872A5"/>
    <w:pPr>
      <w:spacing w:after="0"/>
    </w:pPr>
  </w:style>
  <w:style w:type="table" w:styleId="TabeladeLista6Colorida-nfase1">
    <w:name w:val="List Table 6 Colorful Accent 1"/>
    <w:basedOn w:val="Tabelanormal"/>
    <w:uiPriority w:val="51"/>
    <w:rsid w:val="00D86AEC"/>
    <w:pPr>
      <w:spacing w:after="0" w:line="240" w:lineRule="auto"/>
    </w:pPr>
    <w:rPr>
      <w:color w:val="0B5294" w:themeColor="accent1" w:themeShade="BF"/>
    </w:rPr>
    <w:tblPr>
      <w:tblStyleRowBandSize w:val="1"/>
      <w:tblStyleColBandSize w:val="1"/>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Subttulo">
    <w:name w:val="Subtitle"/>
    <w:basedOn w:val="Normal"/>
    <w:next w:val="Normal"/>
    <w:link w:val="SubttuloChar"/>
    <w:pPr>
      <w:keepNext/>
      <w:keepLines/>
      <w:spacing w:before="360" w:after="80"/>
    </w:pPr>
    <w:rPr>
      <w:rFonts w:ascii="Georgia" w:eastAsia="Georgia" w:hAnsi="Georgia" w:cs="Georgia"/>
      <w:i/>
      <w:color w:val="666666"/>
      <w:sz w:val="48"/>
      <w:szCs w:val="48"/>
    </w:rPr>
  </w:style>
  <w:style w:type="table" w:customStyle="1" w:styleId="161">
    <w:name w:val="161"/>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60">
    <w:name w:val="160"/>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59">
    <w:name w:val="159"/>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58">
    <w:name w:val="158"/>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57">
    <w:name w:val="157"/>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56">
    <w:name w:val="156"/>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55">
    <w:name w:val="155"/>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54">
    <w:name w:val="154"/>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53">
    <w:name w:val="153"/>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52">
    <w:name w:val="152"/>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51">
    <w:name w:val="151"/>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50">
    <w:name w:val="150"/>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49">
    <w:name w:val="14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48">
    <w:name w:val="148"/>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47">
    <w:name w:val="147"/>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46">
    <w:name w:val="14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45">
    <w:name w:val="14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44">
    <w:name w:val="14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43">
    <w:name w:val="143"/>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42">
    <w:name w:val="142"/>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41">
    <w:name w:val="141"/>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40">
    <w:name w:val="140"/>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39">
    <w:name w:val="13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38">
    <w:name w:val="138"/>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37">
    <w:name w:val="137"/>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36">
    <w:name w:val="13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35">
    <w:name w:val="13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34">
    <w:name w:val="13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33">
    <w:name w:val="133"/>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32">
    <w:name w:val="132"/>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31">
    <w:name w:val="131"/>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30">
    <w:name w:val="130"/>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29">
    <w:name w:val="12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28">
    <w:name w:val="128"/>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27">
    <w:name w:val="127"/>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26">
    <w:name w:val="12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25">
    <w:name w:val="12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24">
    <w:name w:val="12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23">
    <w:name w:val="123"/>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22">
    <w:name w:val="122"/>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21">
    <w:name w:val="121"/>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20">
    <w:name w:val="120"/>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19">
    <w:name w:val="11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18">
    <w:name w:val="118"/>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17">
    <w:name w:val="117"/>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16">
    <w:name w:val="11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15">
    <w:name w:val="11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14">
    <w:name w:val="11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13">
    <w:name w:val="113"/>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12">
    <w:name w:val="112"/>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11">
    <w:name w:val="111"/>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10">
    <w:name w:val="110"/>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09">
    <w:name w:val="10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08">
    <w:name w:val="108"/>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07">
    <w:name w:val="107"/>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06">
    <w:name w:val="10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05">
    <w:name w:val="10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04">
    <w:name w:val="10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03">
    <w:name w:val="103"/>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02">
    <w:name w:val="102"/>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01">
    <w:name w:val="101"/>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00">
    <w:name w:val="100"/>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99">
    <w:name w:val="9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98">
    <w:name w:val="98"/>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97">
    <w:name w:val="97"/>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96">
    <w:name w:val="9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95">
    <w:name w:val="9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94">
    <w:name w:val="9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93">
    <w:name w:val="93"/>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92">
    <w:name w:val="92"/>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91">
    <w:name w:val="91"/>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90">
    <w:name w:val="90"/>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89">
    <w:name w:val="8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88">
    <w:name w:val="88"/>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87">
    <w:name w:val="87"/>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86">
    <w:name w:val="8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85">
    <w:name w:val="8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84">
    <w:name w:val="8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83">
    <w:name w:val="83"/>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82">
    <w:name w:val="82"/>
    <w:basedOn w:val="TableNormal10"/>
    <w:pPr>
      <w:spacing w:after="0" w:line="240" w:lineRule="auto"/>
    </w:pPr>
    <w:rPr>
      <w:color w:val="0B5394"/>
    </w:rPr>
    <w:tblPr>
      <w:tblStyleRowBandSize w:val="1"/>
      <w:tblStyleColBandSize w:val="1"/>
      <w:tblCellMar>
        <w:left w:w="108" w:type="dxa"/>
        <w:right w:w="108" w:type="dxa"/>
      </w:tblCellMar>
    </w:tblPr>
  </w:style>
  <w:style w:type="paragraph" w:customStyle="1" w:styleId="Textodatabela">
    <w:name w:val="Texto da tabela"/>
    <w:basedOn w:val="Normal"/>
    <w:uiPriority w:val="9"/>
    <w:qFormat/>
    <w:rsid w:val="000D0934"/>
    <w:pPr>
      <w:spacing w:before="60" w:after="60" w:line="240" w:lineRule="auto"/>
      <w:ind w:left="144" w:right="144"/>
      <w:jc w:val="left"/>
    </w:pPr>
    <w:rPr>
      <w:rFonts w:asciiTheme="minorHAnsi" w:eastAsiaTheme="minorHAnsi" w:hAnsiTheme="minorHAnsi" w:cstheme="minorBidi"/>
      <w:color w:val="595959" w:themeColor="text1" w:themeTint="A6"/>
      <w:kern w:val="20"/>
      <w:sz w:val="20"/>
      <w:szCs w:val="20"/>
      <w:lang w:eastAsia="en-US"/>
    </w:rPr>
  </w:style>
  <w:style w:type="table" w:customStyle="1" w:styleId="81">
    <w:name w:val="81"/>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80">
    <w:name w:val="80"/>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79">
    <w:name w:val="79"/>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78">
    <w:name w:val="78"/>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77">
    <w:name w:val="77"/>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76">
    <w:name w:val="76"/>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75">
    <w:name w:val="75"/>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74">
    <w:name w:val="74"/>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73">
    <w:name w:val="73"/>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72">
    <w:name w:val="72"/>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71">
    <w:name w:val="71"/>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70">
    <w:name w:val="70"/>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69">
    <w:name w:val="6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68">
    <w:name w:val="68"/>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67">
    <w:name w:val="67"/>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66">
    <w:name w:val="6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65">
    <w:name w:val="6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64">
    <w:name w:val="6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63">
    <w:name w:val="63"/>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62">
    <w:name w:val="62"/>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61">
    <w:name w:val="61"/>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60">
    <w:name w:val="60"/>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59">
    <w:name w:val="5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58">
    <w:name w:val="58"/>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57">
    <w:name w:val="57"/>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56">
    <w:name w:val="5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55">
    <w:name w:val="5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54">
    <w:name w:val="5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53">
    <w:name w:val="53"/>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52">
    <w:name w:val="52"/>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51">
    <w:name w:val="51"/>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50">
    <w:name w:val="50"/>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49">
    <w:name w:val="4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48">
    <w:name w:val="48"/>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47">
    <w:name w:val="47"/>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46">
    <w:name w:val="4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45">
    <w:name w:val="4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44">
    <w:name w:val="4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43">
    <w:name w:val="43"/>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42">
    <w:name w:val="42"/>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41">
    <w:name w:val="41"/>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40">
    <w:name w:val="40"/>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39">
    <w:name w:val="3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38">
    <w:name w:val="38"/>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37">
    <w:name w:val="37"/>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36">
    <w:name w:val="3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35">
    <w:name w:val="3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34">
    <w:name w:val="3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33">
    <w:name w:val="33"/>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32">
    <w:name w:val="32"/>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31">
    <w:name w:val="31"/>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30">
    <w:name w:val="30"/>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29">
    <w:name w:val="2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28">
    <w:name w:val="28"/>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27">
    <w:name w:val="27"/>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26">
    <w:name w:val="2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25">
    <w:name w:val="2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24">
    <w:name w:val="2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23">
    <w:name w:val="23"/>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22">
    <w:name w:val="22"/>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21">
    <w:name w:val="21"/>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20">
    <w:name w:val="20"/>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9">
    <w:name w:val="1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8">
    <w:name w:val="18"/>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7">
    <w:name w:val="17"/>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16">
    <w:name w:val="1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5">
    <w:name w:val="1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4">
    <w:name w:val="1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3">
    <w:name w:val="13"/>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2">
    <w:name w:val="12"/>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1">
    <w:name w:val="11"/>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0">
    <w:name w:val="10"/>
    <w:basedOn w:val="TableNormal10"/>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9">
    <w:name w:val="9"/>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8">
    <w:name w:val="8"/>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7">
    <w:name w:val="7"/>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6">
    <w:name w:val="6"/>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5">
    <w:name w:val="5"/>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4">
    <w:name w:val="4"/>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3">
    <w:name w:val="3"/>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2">
    <w:name w:val="2"/>
    <w:basedOn w:val="TableNormal10"/>
    <w:pPr>
      <w:spacing w:after="0" w:line="240" w:lineRule="auto"/>
    </w:pPr>
    <w:rPr>
      <w:color w:val="0B5394"/>
    </w:rPr>
    <w:tblPr>
      <w:tblStyleRowBandSize w:val="1"/>
      <w:tblStyleColBandSize w:val="1"/>
      <w:tblCellMar>
        <w:left w:w="108" w:type="dxa"/>
        <w:right w:w="108" w:type="dxa"/>
      </w:tblCellMar>
    </w:tblPr>
  </w:style>
  <w:style w:type="table" w:customStyle="1" w:styleId="1">
    <w:name w:val="1"/>
    <w:basedOn w:val="TableNormal10"/>
    <w:pPr>
      <w:spacing w:after="0" w:line="240" w:lineRule="auto"/>
    </w:pPr>
    <w:rPr>
      <w:color w:val="0B5394"/>
    </w:rPr>
    <w:tblPr>
      <w:tblStyleRowBandSize w:val="1"/>
      <w:tblStyleColBandSize w:val="1"/>
      <w:tblCellMar>
        <w:left w:w="108" w:type="dxa"/>
        <w:right w:w="108" w:type="dxa"/>
      </w:tblCellMar>
    </w:tblPr>
  </w:style>
  <w:style w:type="table" w:styleId="TabeladeGrade5Escura-nfase1">
    <w:name w:val="Grid Table 5 Dark Accent 1"/>
    <w:basedOn w:val="Tabelanormal"/>
    <w:uiPriority w:val="50"/>
    <w:rsid w:val="00502F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a">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0">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1">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2">
    <w:basedOn w:val="TableNormal3"/>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3">
    <w:basedOn w:val="TableNormal3"/>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4">
    <w:basedOn w:val="TableNormal3"/>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5">
    <w:basedOn w:val="TableNormal3"/>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6">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7">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8">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9">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a">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b">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c">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d">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e">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0">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1">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2">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3">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4">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5">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6">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7">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8">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9">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a">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b">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c">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d">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e">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0">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1">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2">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3">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4">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5">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6">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7">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8">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9">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a">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b">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c">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d">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e">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0">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1">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2">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3">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4">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5">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6">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7">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8">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9">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a">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b">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c">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d">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e">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0">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1">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2">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3">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4">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5">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6">
    <w:basedOn w:val="TableNormal3"/>
    <w:pPr>
      <w:spacing w:after="0" w:line="240" w:lineRule="auto"/>
    </w:pPr>
    <w:rPr>
      <w:color w:val="0B5394"/>
    </w:rPr>
    <w:tblPr>
      <w:tblStyleRowBandSize w:val="1"/>
      <w:tblStyleColBandSize w:val="1"/>
      <w:tblCellMar>
        <w:left w:w="108" w:type="dxa"/>
        <w:right w:w="108" w:type="dxa"/>
      </w:tblCellMar>
    </w:tbl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7">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8">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9">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a">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b">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c">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d">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e">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f">
    <w:basedOn w:val="TableNormal3"/>
    <w:pPr>
      <w:spacing w:after="0" w:line="240" w:lineRule="auto"/>
    </w:pPr>
    <w:rPr>
      <w:color w:val="0B5394"/>
    </w:rPr>
    <w:tblPr>
      <w:tblStyleRowBandSize w:val="1"/>
      <w:tblStyleColBandSize w:val="1"/>
      <w:tblCellMar>
        <w:left w:w="108" w:type="dxa"/>
        <w:right w:w="108" w:type="dxa"/>
      </w:tblCellMar>
    </w:tblPr>
  </w:style>
  <w:style w:type="table" w:customStyle="1" w:styleId="afffff0">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1">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2">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3">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fffff4">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fffff5">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fffff6">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fffff7">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8">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9">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a">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b">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c">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d">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e">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0">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1">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2">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3">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4">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5">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6">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7">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8">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9">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a">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b">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c">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d">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e">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0">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1">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2">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3">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4">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5">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6">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7">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8">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9">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a">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b">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c">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d">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e">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0">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1">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2">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3">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4">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5">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6">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7">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8">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9">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a">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b">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c">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d">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e">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0">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1">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2">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3">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4">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5">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6">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7">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8">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9">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a">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b">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c">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d">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e">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f">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f0">
    <w:basedOn w:val="TableNormal3"/>
    <w:pPr>
      <w:spacing w:after="0" w:line="240" w:lineRule="auto"/>
    </w:pPr>
    <w:rPr>
      <w:color w:val="0B5394"/>
    </w:rPr>
    <w:tblPr>
      <w:tblStyleRowBandSize w:val="1"/>
      <w:tblStyleColBandSize w:val="1"/>
      <w:tblCellMar>
        <w:left w:w="108" w:type="dxa"/>
        <w:right w:w="108" w:type="dxa"/>
      </w:tblCellMar>
    </w:tblPr>
    <w:tcPr>
      <w:shd w:val="clear" w:color="auto" w:fill="C7E2FA"/>
    </w:tcPr>
  </w:style>
  <w:style w:type="table" w:customStyle="1" w:styleId="affffffffff1">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2">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3">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4">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ffffffffff5">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ffffffffff6">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ffffffffff7">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ffffffffff8">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9">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a">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b">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c">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d">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e">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0">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1">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2">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3">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4">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5">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6">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7">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8">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9">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a">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b">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c">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d">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e">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0">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1">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2">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3">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4">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5">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6">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7">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8">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9">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a">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b">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c">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d">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e">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0">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1">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2">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3">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4">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5">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6">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7">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8">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9">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a">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b">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c">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d">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e">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0">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1">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2">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3">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4">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5">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6">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7">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8">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9">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a">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b">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c">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d">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e">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0">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1">
    <w:basedOn w:val="TableNormal1"/>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character" w:customStyle="1" w:styleId="TtuloChar">
    <w:name w:val="Título Char"/>
    <w:basedOn w:val="Fontepargpadro"/>
    <w:link w:val="Ttulo"/>
    <w:uiPriority w:val="10"/>
    <w:rsid w:val="008B6845"/>
    <w:rPr>
      <w:b/>
      <w:sz w:val="72"/>
      <w:szCs w:val="72"/>
    </w:rPr>
  </w:style>
  <w:style w:type="character" w:customStyle="1" w:styleId="SubttuloChar">
    <w:name w:val="Subtítulo Char"/>
    <w:basedOn w:val="Fontepargpadro"/>
    <w:link w:val="Subttulo"/>
    <w:uiPriority w:val="11"/>
    <w:rsid w:val="008B6845"/>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7779D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79D5"/>
    <w:rPr>
      <w:rFonts w:ascii="Segoe UI" w:hAnsi="Segoe UI" w:cs="Segoe UI"/>
      <w:sz w:val="18"/>
      <w:szCs w:val="18"/>
    </w:rPr>
  </w:style>
  <w:style w:type="table" w:customStyle="1" w:styleId="afffffffffffffff2">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3">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4">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5">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fffffffffffffff6">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fffffffffffffff7">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fffffffffffffff8">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6F6"/>
      </w:tcPr>
    </w:tblStylePr>
    <w:tblStylePr w:type="band1Horz">
      <w:tblPr/>
      <w:tcPr>
        <w:shd w:val="clear" w:color="auto" w:fill="90C6F6"/>
      </w:tcPr>
    </w:tblStylePr>
  </w:style>
  <w:style w:type="table" w:customStyle="1" w:styleId="afffffffffffffff9">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a">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b">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c">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d">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e">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f0">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1">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2">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3">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4">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5">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6">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7">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8">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9">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a">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b">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c">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d">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e">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0">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1">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2">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3">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4">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ff5">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6">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7">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8">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9">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a">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b">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c">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d">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e">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0">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1">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2">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3">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4">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5">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fff6">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7">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8">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9">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a">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b">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c">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fffd">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e">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0">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1">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2">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ffff3">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4">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5">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6">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7">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8">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9">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tblStylePr w:type="firstRow">
      <w:rPr>
        <w:b/>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rPr>
      <w:tblPr/>
      <w:tcPr>
        <w:tcBorders>
          <w:top w:val="single" w:sz="4" w:space="0" w:color="0F6FC6"/>
        </w:tcBorders>
      </w:tcPr>
    </w:tblStylePr>
    <w:tblStylePr w:type="firstCol">
      <w:rPr>
        <w:b/>
      </w:rPr>
    </w:tblStylePr>
    <w:tblStylePr w:type="lastCol">
      <w:rPr>
        <w:b/>
      </w:rPr>
    </w:tblStylePr>
    <w:tblStylePr w:type="band1Vert">
      <w:tblPr/>
      <w:tcPr>
        <w:shd w:val="clear" w:color="auto" w:fill="C7E2FA"/>
      </w:tcPr>
    </w:tblStylePr>
    <w:tblStylePr w:type="band1Horz">
      <w:tblPr/>
      <w:tcPr>
        <w:shd w:val="clear" w:color="auto" w:fill="C7E2FA"/>
      </w:tcPr>
    </w:tblStylePr>
  </w:style>
  <w:style w:type="table" w:customStyle="1" w:styleId="afffffffffffffffffffa">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b">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c">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d">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e">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f">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f0">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 w:type="table" w:customStyle="1" w:styleId="affffffffffffffffffff1">
    <w:basedOn w:val="TableNormal0"/>
    <w:pPr>
      <w:spacing w:after="0" w:line="240" w:lineRule="auto"/>
    </w:pPr>
    <w:rPr>
      <w:color w:val="0B5394"/>
    </w:rPr>
    <w:tblPr>
      <w:tblStyleRowBandSize w:val="1"/>
      <w:tblStyleColBandSize w:val="1"/>
      <w:tblCellMar>
        <w:left w:w="115" w:type="dxa"/>
        <w:right w:w="115" w:type="dxa"/>
      </w:tblCellMar>
    </w:tblPr>
    <w:tcPr>
      <w:shd w:val="clear" w:color="auto" w:fill="C7E2FA"/>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ei.tjac.jus.br/sei/controlador.php?acao=procedimento_trabalhar&amp;id_procedimento=1795697" TargetMode="External"/><Relationship Id="rId26" Type="http://schemas.openxmlformats.org/officeDocument/2006/relationships/hyperlink" Target="https://cursos.alura.com.br/formacao-mongodb" TargetMode="External"/><Relationship Id="rId39" Type="http://schemas.openxmlformats.org/officeDocument/2006/relationships/hyperlink" Target="https://cursos.alura.com.br/formacao-wordpress" TargetMode="External"/><Relationship Id="rId21" Type="http://schemas.openxmlformats.org/officeDocument/2006/relationships/hyperlink" Target="https://cursos.alura.com.br/formacao-linguagem-python" TargetMode="External"/><Relationship Id="rId34" Type="http://schemas.openxmlformats.org/officeDocument/2006/relationships/hyperlink" Target="https://cursos.alura.com.br/formacao-php-arquitetura-design-escalabilidade" TargetMode="External"/><Relationship Id="rId42" Type="http://schemas.openxmlformats.org/officeDocument/2006/relationships/hyperlink" Target="https://cursos.alura.com.br/formacao-angular-14" TargetMode="External"/><Relationship Id="rId47" Type="http://schemas.openxmlformats.org/officeDocument/2006/relationships/hyperlink" Target="https://www.udemy.com/course/apache-kafka-para-iniciantes/" TargetMode="External"/><Relationship Id="rId50" Type="http://schemas.openxmlformats.org/officeDocument/2006/relationships/hyperlink" Target="https://www.udemy.com/course/apache-kafka-para-iniciantes/" TargetMode="External"/><Relationship Id="rId55"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i.tjac.jus.br/sei/controlador.php?acao=procedimento_trabalhar&amp;id_procedimento=1795677" TargetMode="External"/><Relationship Id="rId20" Type="http://schemas.openxmlformats.org/officeDocument/2006/relationships/hyperlink" Target="https://cursos.alura.com.br/formacao-data-science-python" TargetMode="External"/><Relationship Id="rId29" Type="http://schemas.openxmlformats.org/officeDocument/2006/relationships/hyperlink" Target="https://www.alura.com.br/formacao-spring-boot-3" TargetMode="External"/><Relationship Id="rId41" Type="http://schemas.openxmlformats.org/officeDocument/2006/relationships/hyperlink" Target="https://cursos.alura.com.br/formacao-angular-aplicacoes-acessiveis-testes-automatizados" TargetMode="External"/><Relationship Id="rId54" Type="http://schemas.openxmlformats.org/officeDocument/2006/relationships/hyperlink" Target="https://www.alura.com.br/formacao-engenharia-softwar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alura.com.br/formacao-modelagem-melhorias-processos-negocios" TargetMode="External"/><Relationship Id="rId32" Type="http://schemas.openxmlformats.org/officeDocument/2006/relationships/hyperlink" Target="https://cursos.alura.com.br/formacao-boas-praticas-php" TargetMode="External"/><Relationship Id="rId37" Type="http://schemas.openxmlformats.org/officeDocument/2006/relationships/hyperlink" Target="https://cursos.alura.com.br/formacao-laravel" TargetMode="External"/><Relationship Id="rId40" Type="http://schemas.openxmlformats.org/officeDocument/2006/relationships/hyperlink" Target="https://cursos.alura.com.br/formacao-aplicacoes-escalaveis-angular" TargetMode="External"/><Relationship Id="rId45" Type="http://schemas.openxmlformats.org/officeDocument/2006/relationships/hyperlink" Target="https://www.udemy.com/course/apache-kafka-para-iniciantes/" TargetMode="External"/><Relationship Id="rId53" Type="http://schemas.openxmlformats.org/officeDocument/2006/relationships/hyperlink" Target="https://www.alura.com.br/formacao-java-microsservicos" TargetMode="External"/><Relationship Id="rId58" Type="http://schemas.openxmlformats.org/officeDocument/2006/relationships/hyperlink" Target="http://www.tjac.jus.br" TargetMode="External"/><Relationship Id="rId5" Type="http://schemas.openxmlformats.org/officeDocument/2006/relationships/webSettings" Target="webSettings.xml"/><Relationship Id="rId15" Type="http://schemas.openxmlformats.org/officeDocument/2006/relationships/hyperlink" Target="https://sei.tjac.jus.br/sei/controlador.php?acao=procedimento_trabalhar&amp;id_procedimento=1795654" TargetMode="External"/><Relationship Id="rId23" Type="http://schemas.openxmlformats.org/officeDocument/2006/relationships/hyperlink" Target="https://www.alura.com.br/curso-online-rpa-automatize-processos-ferramentas-no-low-code" TargetMode="External"/><Relationship Id="rId28" Type="http://schemas.openxmlformats.org/officeDocument/2006/relationships/hyperlink" Target="https://www.alura.com.br/formacao-carreira-tester-qa" TargetMode="External"/><Relationship Id="rId36" Type="http://schemas.openxmlformats.org/officeDocument/2006/relationships/hyperlink" Target="https://cursos.alura.com.br/formacao-php-web" TargetMode="External"/><Relationship Id="rId49" Type="http://schemas.openxmlformats.org/officeDocument/2006/relationships/hyperlink" Target="https://www.udemy.com/course/apache-kafka-para-iniciantes/" TargetMode="External"/><Relationship Id="rId57" Type="http://schemas.openxmlformats.org/officeDocument/2006/relationships/image" Target="media/image6.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cursos.alura.com.br/course/git-github-compartilhando-colaborando-projetos" TargetMode="External"/><Relationship Id="rId31" Type="http://schemas.openxmlformats.org/officeDocument/2006/relationships/hyperlink" Target="https://cursos.alura.com.br/formacao-linguagem-php" TargetMode="External"/><Relationship Id="rId44" Type="http://schemas.openxmlformats.org/officeDocument/2006/relationships/hyperlink" Target="https://www.udemy.com/course/apache-kafka-para-iniciantes/" TargetMode="External"/><Relationship Id="rId52" Type="http://schemas.openxmlformats.org/officeDocument/2006/relationships/hyperlink" Target="https://www.udemy.com/course/apache-kafka-para-iniciantes/"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ei.tjac.jus.br/sei/controlador.php?acao=procedimento_trabalhar&amp;id_procedimento=1743199" TargetMode="External"/><Relationship Id="rId22" Type="http://schemas.openxmlformats.org/officeDocument/2006/relationships/hyperlink" Target="https://cursos.alura.com.br/formacao-visao-computacional-opencv" TargetMode="External"/><Relationship Id="rId27" Type="http://schemas.openxmlformats.org/officeDocument/2006/relationships/hyperlink" Target="https://cursos.alura.com.br/formacao-gestao-agil-projetos" TargetMode="External"/><Relationship Id="rId30" Type="http://schemas.openxmlformats.org/officeDocument/2006/relationships/hyperlink" Target="https://cursos.alura.com.br/formacao-java-web-spring-boot" TargetMode="External"/><Relationship Id="rId35" Type="http://schemas.openxmlformats.org/officeDocument/2006/relationships/hyperlink" Target="https://cursos.alura.com.br/formacao-symfony-e-doctrine" TargetMode="External"/><Relationship Id="rId43" Type="http://schemas.openxmlformats.org/officeDocument/2006/relationships/hyperlink" Target="https://www.alura.com.br/formacao-kafka" TargetMode="External"/><Relationship Id="rId48" Type="http://schemas.openxmlformats.org/officeDocument/2006/relationships/hyperlink" Target="https://www.udemy.com/course/apache-kafka-para-iniciantes/" TargetMode="External"/><Relationship Id="rId56"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hyperlink" Target="https://www.udemy.com/course/apache-kafka-para-iniciante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sei.tjac.jus.br/sei/controlador.php?acao=procedimento_trabalhar&amp;id_procedimento=1795687" TargetMode="External"/><Relationship Id="rId25" Type="http://schemas.openxmlformats.org/officeDocument/2006/relationships/hyperlink" Target="https://cursos.alura.com.br/formacao-engenharia-dados-primeiros-passos" TargetMode="External"/><Relationship Id="rId33" Type="http://schemas.openxmlformats.org/officeDocument/2006/relationships/hyperlink" Target="https://cursos.alura.com.br/formacao-arquiteto-php" TargetMode="External"/><Relationship Id="rId38" Type="http://schemas.openxmlformats.org/officeDocument/2006/relationships/hyperlink" Target="https://cursos.alura.com.br/formacao-php-programacao-funcional-assincrona-metaprogramacao" TargetMode="External"/><Relationship Id="rId46" Type="http://schemas.openxmlformats.org/officeDocument/2006/relationships/hyperlink" Target="https://www.udemy.com/course/apache-kafka-para-iniciantes/" TargetMode="External"/><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MV1gdCZQDkkc3PC1s78iuuxxSg==">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26367</Words>
  <Characters>142382</Characters>
  <Application>Microsoft Office Word</Application>
  <DocSecurity>0</DocSecurity>
  <Lines>1186</Lines>
  <Paragraphs>336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PODER JUDICIÁRIO DO ESTADO DO ACRE</dc:creator>
  <cp:lastModifiedBy>ssucin</cp:lastModifiedBy>
  <cp:revision>4</cp:revision>
  <cp:lastPrinted>2024-06-28T14:31:00Z</cp:lastPrinted>
  <dcterms:created xsi:type="dcterms:W3CDTF">2023-08-16T20:16:00Z</dcterms:created>
  <dcterms:modified xsi:type="dcterms:W3CDTF">2024-06-28T14:31:00Z</dcterms:modified>
</cp:coreProperties>
</file>