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1"/>
        </w:rPr>
      </w:pPr>
    </w:p>
    <w:p>
      <w:pPr>
        <w:pStyle w:val="BodyText"/>
        <w:spacing w:before="224"/>
        <w:rPr>
          <w:sz w:val="21"/>
        </w:rPr>
      </w:pPr>
    </w:p>
    <w:p>
      <w:pPr>
        <w:spacing w:before="0"/>
        <w:ind w:left="0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62"/>
          <w:sz w:val="21"/>
        </w:rPr>
        <w:t> </w:t>
      </w:r>
      <w:r>
        <w:rPr>
          <w:rFonts w:ascii="Arial" w:hAnsi="Arial"/>
          <w:b/>
          <w:spacing w:val="-2"/>
          <w:sz w:val="21"/>
        </w:rPr>
        <w:t>1/2024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72"/>
        <w:rPr>
          <w:rFonts w:ascii="Arial"/>
          <w:b/>
          <w:sz w:val="21"/>
        </w:rPr>
      </w:pPr>
    </w:p>
    <w:p>
      <w:pPr>
        <w:pStyle w:val="Title"/>
      </w:pPr>
      <w:r>
        <w:rPr>
          <w:spacing w:val="-2"/>
        </w:rPr>
        <w:t>INTRODUÇÃO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BodyText"/>
        <w:spacing w:line="247" w:lineRule="auto"/>
        <w:ind w:left="187" w:right="37"/>
      </w:pPr>
      <w:r>
        <w:rPr/>
        <w:t>Em</w:t>
      </w:r>
      <w:r>
        <w:rPr>
          <w:spacing w:val="-12"/>
        </w:rPr>
        <w:t> </w:t>
      </w:r>
      <w:r>
        <w:rPr/>
        <w:t>conformidade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Art.</w:t>
      </w:r>
      <w:r>
        <w:rPr>
          <w:spacing w:val="-12"/>
        </w:rPr>
        <w:t> </w:t>
      </w:r>
      <w:r>
        <w:rPr/>
        <w:t>21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Resolução</w:t>
      </w:r>
      <w:r>
        <w:rPr>
          <w:spacing w:val="-12"/>
        </w:rPr>
        <w:t> </w:t>
      </w:r>
      <w:r>
        <w:rPr/>
        <w:t>271/2022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TPADM,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fase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Planejamento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Contratação terá</w:t>
      </w:r>
      <w:r>
        <w:rPr>
          <w:spacing w:val="-4"/>
        </w:rPr>
        <w:t> </w:t>
      </w:r>
      <w:r>
        <w:rPr/>
        <w:t>início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Informação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Dados</w:t>
      </w:r>
      <w:r>
        <w:rPr>
          <w:spacing w:val="-4"/>
        </w:rPr>
        <w:t> </w:t>
      </w:r>
      <w:r>
        <w:rPr/>
        <w:t>do Documento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Oficialização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Demanda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DOD,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Demandante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TIC,</w:t>
      </w:r>
      <w:r>
        <w:rPr>
          <w:spacing w:val="-3"/>
        </w:rPr>
        <w:t> </w:t>
      </w:r>
      <w:r>
        <w:rPr/>
        <w:t>para instituição da Equipe de Planejamento da Contratação.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839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Demandante: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demanda: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Matricula: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1576"/>
        <w:gridCol w:w="3590"/>
        <w:gridCol w:w="1697"/>
      </w:tblGrid>
      <w:tr>
        <w:trPr>
          <w:trHeight w:val="839" w:hRule="atLeast"/>
        </w:trPr>
        <w:tc>
          <w:tcPr>
            <w:tcW w:w="10382" w:type="dxa"/>
            <w:gridSpan w:val="4"/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</w:tr>
      <w:tr>
        <w:trPr>
          <w:trHeight w:val="599" w:hRule="atLeast"/>
        </w:trPr>
        <w:tc>
          <w:tcPr>
            <w:tcW w:w="3519" w:type="dxa"/>
            <w:tcBorders>
              <w:right w:val="nil"/>
            </w:tcBorders>
          </w:tcPr>
          <w:p>
            <w:pPr>
              <w:pStyle w:val="TableParagraph"/>
              <w:spacing w:line="280" w:lineRule="atLeast" w:before="12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3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junior.martins@tjac.jus.br</w:t>
              </w:r>
            </w:hyperlink>
            <w:r>
              <w:rPr>
                <w:spacing w:val="-2"/>
                <w:sz w:val="24"/>
              </w:rPr>
              <w:t> DITEC/DIGER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90" w:type="dxa"/>
            <w:tcBorders>
              <w:left w:val="nil"/>
              <w:right w:val="nil"/>
            </w:tcBorders>
          </w:tcPr>
          <w:p>
            <w:pPr>
              <w:pStyle w:val="TableParagraph"/>
              <w:ind w:left="653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Diretor</w:t>
            </w:r>
          </w:p>
        </w:tc>
        <w:tc>
          <w:tcPr>
            <w:tcW w:w="1697" w:type="dxa"/>
            <w:tcBorders>
              <w:left w:val="nil"/>
            </w:tcBorders>
          </w:tcPr>
          <w:p>
            <w:pPr>
              <w:pStyle w:val="TableParagraph"/>
              <w:ind w:left="781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  <w:tr>
        <w:trPr>
          <w:trHeight w:val="314" w:hRule="atLeast"/>
        </w:trPr>
        <w:tc>
          <w:tcPr>
            <w:tcW w:w="1038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599" w:hRule="atLeast"/>
        </w:trPr>
        <w:tc>
          <w:tcPr>
            <w:tcW w:w="3519" w:type="dxa"/>
            <w:tcBorders>
              <w:right w:val="nil"/>
            </w:tcBorders>
          </w:tcPr>
          <w:p>
            <w:pPr>
              <w:pStyle w:val="TableParagraph"/>
              <w:spacing w:line="280" w:lineRule="atLeast" w:before="12"/>
              <w:rPr>
                <w:sz w:val="24"/>
              </w:rPr>
            </w:pPr>
            <w:r>
              <w:rPr>
                <w:spacing w:val="-4"/>
                <w:sz w:val="24"/>
              </w:rPr>
              <w:t>Email:</w:t>
            </w:r>
            <w:r>
              <w:rPr>
                <w:spacing w:val="-5"/>
                <w:sz w:val="24"/>
              </w:rPr>
              <w:t> </w:t>
            </w:r>
            <w:hyperlink r:id="rId8">
              <w:r>
                <w:rPr>
                  <w:spacing w:val="-4"/>
                  <w:sz w:val="24"/>
                </w:rPr>
                <w:t>elson.oliveira@tjac.jus.br</w:t>
              </w:r>
            </w:hyperlink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Lotação: DITEC/GERED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149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Gerente</w:t>
            </w:r>
          </w:p>
        </w:tc>
        <w:tc>
          <w:tcPr>
            <w:tcW w:w="1697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038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314" w:hRule="atLeast"/>
        </w:trPr>
        <w:tc>
          <w:tcPr>
            <w:tcW w:w="3519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15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359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2029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  <w:tc>
          <w:tcPr>
            <w:tcW w:w="1697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00" w:footer="912" w:top="2000" w:bottom="1100" w:left="560" w:right="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1" w:after="1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839" w:hRule="atLeast"/>
        </w:trPr>
        <w:tc>
          <w:tcPr>
            <w:tcW w:w="103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</w:tc>
      </w:tr>
      <w:tr>
        <w:trPr>
          <w:trHeight w:val="884" w:hRule="atLeast"/>
        </w:trPr>
        <w:tc>
          <w:tcPr>
            <w:tcW w:w="10380" w:type="dxa"/>
          </w:tcPr>
          <w:p>
            <w:pPr>
              <w:pStyle w:val="TableParagraph"/>
              <w:spacing w:line="280" w:lineRule="atLeast" w:before="12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provimento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plataforma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compartilhamento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(Cadastro Compartilhado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Receita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b-Cadastros)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blockchain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permissionada,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atender às necessidades do Poder Judiciário do Estado do ACRE.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2174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1434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Crescimento. </w:t>
            </w:r>
            <w:r>
              <w:rPr>
                <w:sz w:val="24"/>
              </w:rPr>
              <w:t>Macrodesafio: Fortalecer a Gestão de 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Objetivo: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TJ,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CNJ.</w:t>
            </w:r>
          </w:p>
          <w:p>
            <w:pPr>
              <w:pStyle w:val="TableParagraph"/>
              <w:spacing w:line="280" w:lineRule="atLeast" w:before="245"/>
              <w:ind w:left="37" w:right="75"/>
              <w:rPr>
                <w:sz w:val="24"/>
              </w:rPr>
            </w:pPr>
            <w:r>
              <w:rPr>
                <w:sz w:val="24"/>
              </w:rPr>
              <w:t>Metas: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2"/>
              </w:rPr>
              <w:t>Implantar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eletrônicos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orientações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CNJ.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 70% até 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(PDTIC):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PDTIC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direcionar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aquisições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objetivando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maximizar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cumprimento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estratégia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institucional 2021/206,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Justiça do Acre</w:t>
            </w:r>
          </w:p>
        </w:tc>
      </w:tr>
      <w:tr>
        <w:trPr>
          <w:trHeight w:val="1124" w:hRule="atLeast"/>
        </w:trPr>
        <w:tc>
          <w:tcPr>
            <w:tcW w:w="10425" w:type="dxa"/>
          </w:tcPr>
          <w:p>
            <w:pPr>
              <w:pStyle w:val="TableParagraph"/>
              <w:spacing w:line="247" w:lineRule="auto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Soluções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PSTIC: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ora </w:t>
            </w:r>
            <w:r>
              <w:rPr>
                <w:sz w:val="24"/>
              </w:rPr>
              <w:t>pleiteada está prevista no Plano Anual de Contratação 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b/>
                <w:spacing w:val="-2"/>
                <w:sz w:val="24"/>
              </w:rPr>
              <w:t>MOTIVAÇÃO/JUSTIFICATIVA</w:t>
            </w:r>
          </w:p>
        </w:tc>
      </w:tr>
      <w:tr>
        <w:trPr>
          <w:trHeight w:val="1710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29"/>
              <w:rPr>
                <w:sz w:val="24"/>
              </w:rPr>
            </w:pPr>
            <w:r>
              <w:rPr>
                <w:sz w:val="24"/>
              </w:rPr>
              <w:t>Considerando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(TJAC)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intimamente relacionadas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cuidado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cruciais,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(Cadastro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Pessoa </w:t>
            </w:r>
            <w:r>
              <w:rPr>
                <w:spacing w:val="-2"/>
                <w:sz w:val="24"/>
              </w:rPr>
              <w:t>Física),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CNPJ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(Cadastro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Nacional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Pessoa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Jurídica)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(Simples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Nacional),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verifica-se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necessidade </w:t>
            </w:r>
            <w:r>
              <w:rPr>
                <w:sz w:val="24"/>
              </w:rPr>
              <w:t>premente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precisão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confiabilidade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dessas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desempenho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eficaz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suas </w:t>
            </w:r>
            <w:r>
              <w:rPr>
                <w:spacing w:val="-2"/>
                <w:sz w:val="24"/>
              </w:rPr>
              <w:t>funções.</w:t>
            </w:r>
          </w:p>
        </w:tc>
      </w:tr>
    </w:tbl>
    <w:p>
      <w:pPr>
        <w:spacing w:after="0" w:line="247" w:lineRule="auto"/>
        <w:rPr>
          <w:sz w:val="24"/>
        </w:rPr>
        <w:sectPr>
          <w:pgSz w:w="11900" w:h="16840"/>
          <w:pgMar w:header="500" w:footer="912" w:top="2000" w:bottom="110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 w:after="1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10155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29" w:right="385"/>
              <w:rPr>
                <w:sz w:val="24"/>
              </w:rPr>
            </w:pPr>
            <w:r>
              <w:rPr>
                <w:sz w:val="24"/>
              </w:rPr>
              <w:t>Atualmente,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cadastrais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CNPJ+SN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disponíveis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TJAC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fornecidas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pelos próprios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cidadãos,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inseridas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judiciais.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Diante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cenário,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torna-se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essencial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implementação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possibilite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validação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dados,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atendendo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exigências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 responsabilidades das diversas áreas do Tribunal.</w:t>
            </w:r>
          </w:p>
          <w:p>
            <w:pPr>
              <w:pStyle w:val="TableParagraph"/>
              <w:spacing w:line="247" w:lineRule="auto" w:before="24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atividades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necessitam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tais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informações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validadas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diversas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extrema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importância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 </w:t>
            </w:r>
            <w:r>
              <w:rPr>
                <w:sz w:val="24"/>
              </w:rPr>
              <w:t>TJAC. Destacam-se: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40" w:after="0"/>
              <w:ind w:left="629" w:right="86" w:hanging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Reconhecimento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cuidadoso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envolvidos: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identificação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precisa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partes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envolvidas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processos </w:t>
            </w:r>
            <w:r>
              <w:rPr>
                <w:sz w:val="24"/>
              </w:rPr>
              <w:t>judiciais é fundamental para a correta condução das ações judiciais.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40" w:after="0"/>
              <w:ind w:left="629" w:right="25" w:hanging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Verificação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atenciosa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informações: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É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essencial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garantir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exatidão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informações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fornecidas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pelos </w:t>
            </w:r>
            <w:r>
              <w:rPr>
                <w:sz w:val="24"/>
              </w:rPr>
              <w:t>cidadãos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judiciais,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assegurando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integridade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evitando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possíveis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erros.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41" w:after="0"/>
              <w:ind w:left="629" w:right="224" w:hanging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Prevenção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possíveis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problemas: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validação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dados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CPFs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CNPJs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essencial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prevenir </w:t>
            </w:r>
            <w:r>
              <w:rPr>
                <w:sz w:val="24"/>
              </w:rPr>
              <w:t>fraudes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evitar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falsas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inválidas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comprometam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lisura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judiciais.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40" w:after="0"/>
              <w:ind w:left="629" w:right="926" w:hanging="248"/>
              <w:jc w:val="left"/>
              <w:rPr>
                <w:sz w:val="24"/>
              </w:rPr>
            </w:pPr>
            <w:r>
              <w:rPr>
                <w:sz w:val="24"/>
              </w:rPr>
              <w:t>Cumprimento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responsabilidades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legais: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eficácia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decisões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judiciais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cumprimento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obrigações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legais,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é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imprescindível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contar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dados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cadastrais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confiáveis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 atualizados.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42" w:after="0"/>
              <w:ind w:left="629" w:right="741" w:hanging="248"/>
              <w:jc w:val="left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análises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judiciais: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CNPJ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ferramentas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valiosas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juízes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 magistrados,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auxiliando-os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tomada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decisões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embasadas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judiciais.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629" w:val="left" w:leader="none"/>
              </w:tabs>
              <w:spacing w:line="247" w:lineRule="auto" w:before="240" w:after="0"/>
              <w:ind w:left="629" w:right="276" w:hanging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Conformidade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lei: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validação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dados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cadastrais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assegura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todas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transações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judiciais </w:t>
            </w:r>
            <w:r>
              <w:rPr>
                <w:sz w:val="24"/>
              </w:rPr>
              <w:t>estejam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conformidade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regulamentos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vigentes,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garantindo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legalidade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dos </w:t>
            </w:r>
            <w:r>
              <w:rPr>
                <w:spacing w:val="-2"/>
                <w:sz w:val="24"/>
              </w:rPr>
              <w:t>procedimentos.</w:t>
            </w:r>
          </w:p>
          <w:p>
            <w:pPr>
              <w:pStyle w:val="TableParagraph"/>
              <w:spacing w:line="247" w:lineRule="auto" w:before="242"/>
              <w:ind w:left="29"/>
              <w:rPr>
                <w:sz w:val="24"/>
              </w:rPr>
            </w:pPr>
            <w:r>
              <w:rPr>
                <w:sz w:val="24"/>
              </w:rPr>
              <w:t>Dessa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especializado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validação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cadastrais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torna-se </w:t>
            </w:r>
            <w:r>
              <w:rPr>
                <w:spacing w:val="-2"/>
                <w:sz w:val="24"/>
              </w:rPr>
              <w:t>indispensável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garantir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integridade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eficiência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atividades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TJAC.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Considerando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serviço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é </w:t>
            </w:r>
            <w:r>
              <w:rPr>
                <w:sz w:val="24"/>
              </w:rPr>
              <w:t>único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específico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Tribunal,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inexigibilidade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faz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necessária,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visto 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alternativa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adequada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eficaz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descritas.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Tal contratação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possibilitará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implementação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plataforma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mantenha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cadastrais sincronizadas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atualizadas,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conformidade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Receita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Federal,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proporcionando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judicial 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seguro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confiável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envolvidos.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ALCANÇADO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CONTRATAÇÃO</w:t>
            </w:r>
          </w:p>
        </w:tc>
      </w:tr>
      <w:tr>
        <w:trPr>
          <w:trHeight w:val="930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9" w:val="left" w:leader="none"/>
              </w:tabs>
              <w:spacing w:line="240" w:lineRule="auto" w:before="18" w:after="0"/>
              <w:ind w:left="239" w:right="0" w:hanging="21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Cadastrais</w:t>
            </w:r>
            <w:r>
              <w:rPr>
                <w:spacing w:val="-12"/>
                <w:sz w:val="27"/>
              </w:rPr>
              <w:t> </w:t>
            </w:r>
            <w:r>
              <w:rPr>
                <w:spacing w:val="-2"/>
                <w:sz w:val="27"/>
              </w:rPr>
              <w:t>sincronizada</w:t>
            </w:r>
            <w:r>
              <w:rPr>
                <w:spacing w:val="-12"/>
                <w:sz w:val="27"/>
              </w:rPr>
              <w:t> </w:t>
            </w:r>
            <w:r>
              <w:rPr>
                <w:spacing w:val="-2"/>
                <w:sz w:val="27"/>
              </w:rPr>
              <w:t>e</w:t>
            </w:r>
            <w:r>
              <w:rPr>
                <w:spacing w:val="-12"/>
                <w:sz w:val="27"/>
              </w:rPr>
              <w:t> </w:t>
            </w:r>
            <w:r>
              <w:rPr>
                <w:spacing w:val="-2"/>
                <w:sz w:val="27"/>
              </w:rPr>
              <w:t>atualizada;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8" w:val="left" w:leader="none"/>
              </w:tabs>
              <w:spacing w:line="240" w:lineRule="auto" w:before="19" w:after="0"/>
              <w:ind w:left="308" w:right="0" w:hanging="279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Integração</w:t>
            </w:r>
            <w:r>
              <w:rPr>
                <w:spacing w:val="-8"/>
                <w:sz w:val="27"/>
              </w:rPr>
              <w:t> </w:t>
            </w:r>
            <w:r>
              <w:rPr>
                <w:spacing w:val="-2"/>
                <w:sz w:val="27"/>
              </w:rPr>
              <w:t>com</w:t>
            </w:r>
            <w:r>
              <w:rPr>
                <w:spacing w:val="-8"/>
                <w:sz w:val="27"/>
              </w:rPr>
              <w:t> </w:t>
            </w:r>
            <w:r>
              <w:rPr>
                <w:spacing w:val="-2"/>
                <w:sz w:val="27"/>
              </w:rPr>
              <w:t>o</w:t>
            </w:r>
            <w:r>
              <w:rPr>
                <w:spacing w:val="-8"/>
                <w:sz w:val="27"/>
              </w:rPr>
              <w:t> </w:t>
            </w:r>
            <w:r>
              <w:rPr>
                <w:spacing w:val="-2"/>
                <w:sz w:val="27"/>
              </w:rPr>
              <w:t>sistema</w:t>
            </w:r>
            <w:r>
              <w:rPr>
                <w:spacing w:val="-7"/>
                <w:sz w:val="27"/>
              </w:rPr>
              <w:t> </w:t>
            </w:r>
            <w:r>
              <w:rPr>
                <w:spacing w:val="-4"/>
                <w:sz w:val="27"/>
              </w:rPr>
              <w:t>SAJ;</w:t>
            </w:r>
          </w:p>
        </w:tc>
      </w:tr>
    </w:tbl>
    <w:p>
      <w:pPr>
        <w:spacing w:after="0" w:line="240" w:lineRule="auto"/>
        <w:jc w:val="left"/>
        <w:rPr>
          <w:sz w:val="27"/>
        </w:rPr>
        <w:sectPr>
          <w:pgSz w:w="11900" w:h="16840"/>
          <w:pgMar w:header="500" w:footer="912" w:top="2000" w:bottom="110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2657475"/>
                <wp:effectExtent l="9525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38925" cy="2657475"/>
                          <a:chExt cx="6638925" cy="26574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0"/>
                            <a:ext cx="6638925" cy="265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65747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2628900"/>
                                </a:lnTo>
                                <a:lnTo>
                                  <a:pt x="28575" y="262890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8900"/>
                                </a:lnTo>
                                <a:lnTo>
                                  <a:pt x="0" y="2647950"/>
                                </a:lnTo>
                                <a:lnTo>
                                  <a:pt x="0" y="2657475"/>
                                </a:lnTo>
                                <a:lnTo>
                                  <a:pt x="19050" y="2657475"/>
                                </a:lnTo>
                                <a:lnTo>
                                  <a:pt x="28575" y="2657475"/>
                                </a:lnTo>
                                <a:lnTo>
                                  <a:pt x="6610350" y="2657475"/>
                                </a:lnTo>
                                <a:lnTo>
                                  <a:pt x="6629400" y="2657475"/>
                                </a:lnTo>
                                <a:lnTo>
                                  <a:pt x="6638925" y="2657475"/>
                                </a:lnTo>
                                <a:lnTo>
                                  <a:pt x="6638925" y="2647950"/>
                                </a:lnTo>
                                <a:lnTo>
                                  <a:pt x="6638925" y="262890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8575" y="0"/>
                            <a:ext cx="6581775" cy="262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5" w:val="left" w:leader="none"/>
                                </w:tabs>
                                <w:spacing w:before="3"/>
                                <w:ind w:left="355" w:right="0" w:hanging="348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sz w:val="27"/>
                                </w:rPr>
                                <w:t>Saneamento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dados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inseridos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sistema</w:t>
                              </w:r>
                              <w:r>
                                <w:rPr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>SAJ;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33" w:val="left" w:leader="none"/>
                                </w:tabs>
                                <w:spacing w:before="19"/>
                                <w:ind w:left="333" w:right="0" w:hanging="326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Atendimento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ao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padrão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incerção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dados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cadastrais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>CNJ;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68" w:val="left" w:leader="none"/>
                                </w:tabs>
                                <w:spacing w:before="20"/>
                                <w:ind w:left="268" w:right="0" w:hanging="261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sz w:val="27"/>
                                </w:rPr>
                                <w:t>Aprimoramento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segurança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informação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dados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cadastrais;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43" w:val="left" w:leader="none"/>
                                </w:tabs>
                                <w:spacing w:line="254" w:lineRule="auto" w:before="19"/>
                                <w:ind w:left="7" w:right="373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Atendimento a Resolução 370 do CNJ " - Art. 34. Os itens de infraestrutura tecnológica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deverão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atender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as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especificações,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temporalidade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uso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obsolescência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serem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regulados</w:t>
                              </w:r>
                              <w:r>
                                <w:rPr>
                                  <w:spacing w:val="-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em </w:t>
                              </w:r>
                              <w:r>
                                <w:rPr>
                                  <w:sz w:val="27"/>
                                </w:rPr>
                                <w:t>instrumentos aplicáveis e específico.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209.25pt;mso-position-horizontal-relative:char;mso-position-vertical-relative:line" id="docshapegroup2" coordorigin="0,0" coordsize="10455,4185">
                <v:shape style="position:absolute;left:-1;top:0;width:10455;height:4185" id="docshape3" coordorigin="0,0" coordsize="10455,4185" path="m10455,0l10440,0,10410,0,10410,4140,45,4140,45,0,30,0,0,0,0,4140,0,4170,0,4185,30,4185,45,4185,10410,4185,10440,4185,10455,4185,10455,4170,10455,4140,10455,0xe" filled="true" fillcolor="#000000" stroked="false">
                  <v:path arrowok="t"/>
                  <v:fill type="solid"/>
                </v:shape>
                <v:shape style="position:absolute;left:45;top:0;width:10365;height:4140" type="#_x0000_t202" id="docshape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5" w:val="left" w:leader="none"/>
                          </w:tabs>
                          <w:spacing w:before="3"/>
                          <w:ind w:left="355" w:right="0" w:hanging="348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sz w:val="27"/>
                          </w:rPr>
                          <w:t>Saneamento</w:t>
                        </w:r>
                        <w:r>
                          <w:rPr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de</w:t>
                        </w:r>
                        <w:r>
                          <w:rPr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dados</w:t>
                        </w:r>
                        <w:r>
                          <w:rPr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inseridos</w:t>
                        </w:r>
                        <w:r>
                          <w:rPr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no</w:t>
                        </w:r>
                        <w:r>
                          <w:rPr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sistema</w:t>
                        </w:r>
                        <w:r>
                          <w:rPr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sz w:val="27"/>
                          </w:rPr>
                          <w:t>SAJ;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33" w:val="left" w:leader="none"/>
                          </w:tabs>
                          <w:spacing w:before="19"/>
                          <w:ind w:left="333" w:right="0" w:hanging="326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Atendimento</w:t>
                        </w:r>
                        <w:r>
                          <w:rPr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ao</w:t>
                        </w:r>
                        <w:r>
                          <w:rPr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padrão</w:t>
                        </w:r>
                        <w:r>
                          <w:rPr>
                            <w:spacing w:val="-16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de</w:t>
                        </w:r>
                        <w:r>
                          <w:rPr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incerção</w:t>
                        </w:r>
                        <w:r>
                          <w:rPr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de</w:t>
                        </w:r>
                        <w:r>
                          <w:rPr>
                            <w:spacing w:val="-16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dados</w:t>
                        </w:r>
                        <w:r>
                          <w:rPr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cadastrais</w:t>
                        </w:r>
                        <w:r>
                          <w:rPr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do</w:t>
                        </w:r>
                        <w:r>
                          <w:rPr>
                            <w:spacing w:val="-16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sz w:val="27"/>
                          </w:rPr>
                          <w:t>CNJ;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68" w:val="left" w:leader="none"/>
                          </w:tabs>
                          <w:spacing w:before="20"/>
                          <w:ind w:left="268" w:right="0" w:hanging="261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sz w:val="27"/>
                          </w:rPr>
                          <w:t>Aprimoramento</w:t>
                        </w:r>
                        <w:r>
                          <w:rPr>
                            <w:spacing w:val="-7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da</w:t>
                        </w:r>
                        <w:r>
                          <w:rPr>
                            <w:spacing w:val="-7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segurança</w:t>
                        </w:r>
                        <w:r>
                          <w:rPr>
                            <w:spacing w:val="-6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da</w:t>
                        </w:r>
                        <w:r>
                          <w:rPr>
                            <w:spacing w:val="-7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informação</w:t>
                        </w:r>
                        <w:r>
                          <w:rPr>
                            <w:spacing w:val="-6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dos</w:t>
                        </w:r>
                        <w:r>
                          <w:rPr>
                            <w:spacing w:val="-7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dados</w:t>
                        </w:r>
                        <w:r>
                          <w:rPr>
                            <w:spacing w:val="-6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cadastrais;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43" w:val="left" w:leader="none"/>
                          </w:tabs>
                          <w:spacing w:line="254" w:lineRule="auto" w:before="19"/>
                          <w:ind w:left="7" w:right="373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Atendimento a Resolução 370 do CNJ " - Art. 34. Os itens de infraestrutura tecnológica </w:t>
                        </w:r>
                        <w:r>
                          <w:rPr>
                            <w:spacing w:val="-2"/>
                            <w:sz w:val="27"/>
                          </w:rPr>
                          <w:t>deverão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atender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as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especificações,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temporalidade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de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uso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e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obsolescência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a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serem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regulados</w:t>
                        </w:r>
                        <w:r>
                          <w:rPr>
                            <w:spacing w:val="-12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sz w:val="27"/>
                          </w:rPr>
                          <w:t>em </w:t>
                        </w:r>
                        <w:r>
                          <w:rPr>
                            <w:sz w:val="27"/>
                          </w:rPr>
                          <w:t>instrumentos aplicáveis e específico.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469899</wp:posOffset>
                </wp:positionH>
                <wp:positionV relativeFrom="paragraph">
                  <wp:posOffset>231810</wp:posOffset>
                </wp:positionV>
                <wp:extent cx="6638925" cy="294322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38925" cy="2943225"/>
                          <a:chExt cx="6638925" cy="29432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228599"/>
                            <a:ext cx="6638925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71462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28575"/>
                                </a:lnTo>
                                <a:lnTo>
                                  <a:pt x="6610350" y="2686050"/>
                                </a:lnTo>
                                <a:lnTo>
                                  <a:pt x="28575" y="2686050"/>
                                </a:lnTo>
                                <a:lnTo>
                                  <a:pt x="28575" y="28575"/>
                                </a:lnTo>
                                <a:lnTo>
                                  <a:pt x="6610350" y="28575"/>
                                </a:lnTo>
                                <a:lnTo>
                                  <a:pt x="6610350" y="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0" y="2686050"/>
                                </a:lnTo>
                                <a:lnTo>
                                  <a:pt x="0" y="2705100"/>
                                </a:lnTo>
                                <a:lnTo>
                                  <a:pt x="0" y="2714625"/>
                                </a:lnTo>
                                <a:lnTo>
                                  <a:pt x="19050" y="2714625"/>
                                </a:lnTo>
                                <a:lnTo>
                                  <a:pt x="28575" y="2714625"/>
                                </a:lnTo>
                                <a:lnTo>
                                  <a:pt x="6610350" y="2714625"/>
                                </a:lnTo>
                                <a:lnTo>
                                  <a:pt x="6629400" y="2714625"/>
                                </a:lnTo>
                                <a:lnTo>
                                  <a:pt x="6638925" y="2714625"/>
                                </a:lnTo>
                                <a:lnTo>
                                  <a:pt x="6638925" y="2705100"/>
                                </a:lnTo>
                                <a:lnTo>
                                  <a:pt x="6638925" y="2686050"/>
                                </a:lnTo>
                                <a:lnTo>
                                  <a:pt x="6638925" y="28575"/>
                                </a:lnTo>
                                <a:lnTo>
                                  <a:pt x="6638925" y="1905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57970" y="2093653"/>
                            <a:ext cx="292608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Jose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Carlos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Martins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Junior</w:t>
                              </w:r>
                            </w:p>
                            <w:p>
                              <w:pPr>
                                <w:spacing w:line="249" w:lineRule="exact" w:before="242"/>
                                <w:ind w:left="-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Diretor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Tecnologia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Informação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337" y="272416"/>
                            <a:ext cx="6572884" cy="132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Encaminhe-se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autoridade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competente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Área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Administrativa,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deverá: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98" w:val="left" w:leader="none"/>
                                </w:tabs>
                                <w:spacing w:before="249"/>
                                <w:ind w:left="198" w:right="0" w:hanging="19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Decidir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motivadamente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prosseguimento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contratação;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87" w:val="left" w:leader="none"/>
                                </w:tabs>
                                <w:spacing w:line="247" w:lineRule="auto" w:before="249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Integrante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Administrativo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composição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Equipe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Planejamento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quando da continuidade da contratação;</w:t>
                              </w:r>
                            </w:p>
                            <w:p>
                              <w:pPr>
                                <w:spacing w:line="249" w:lineRule="exact" w:before="230"/>
                                <w:ind w:left="0" w:right="13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Rio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Branco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Acre,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Abril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ENCAMINHAMENTO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99996pt;margin-top:18.2528pt;width:522.75pt;height:231.75pt;mso-position-horizontal-relative:page;mso-position-vertical-relative:paragraph;z-index:-15728128;mso-wrap-distance-left:0;mso-wrap-distance-right:0" id="docshapegroup5" coordorigin="740,365" coordsize="10455,4635">
                <v:shape style="position:absolute;left:739;top:725;width:10455;height:4275" id="docshape6" coordorigin="740,725" coordsize="10455,4275" path="m11195,725l11180,725,11150,725,11150,770,11150,4955,785,4955,785,770,11150,770,11150,725,785,725,770,725,740,725,740,755,740,770,740,4955,740,4985,740,5000,770,5000,785,5000,11150,5000,11180,5000,11195,5000,11195,4985,11195,4955,11195,770,11195,755,11195,725xe" filled="true" fillcolor="#000000" stroked="false">
                  <v:path arrowok="t"/>
                  <v:fill type="solid"/>
                </v:shape>
                <v:shape style="position:absolute;left:3665;top:3662;width:4608;height:737" type="#_x0000_t202" id="docshape7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Jose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Carlos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Martins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Junior</w:t>
                        </w:r>
                      </w:p>
                      <w:p>
                        <w:pPr>
                          <w:spacing w:line="249" w:lineRule="exact" w:before="242"/>
                          <w:ind w:left="-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Diretor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Tecnologia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Informação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Comunicação</w:t>
                        </w:r>
                      </w:p>
                    </w:txbxContent>
                  </v:textbox>
                  <w10:wrap type="none"/>
                </v:shape>
                <v:shape style="position:absolute;left:792;top:794;width:10351;height:2090" type="#_x0000_t202" id="docshape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Encaminhe-se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à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autoridade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competente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Área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Administrativa,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que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deverá: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98" w:val="left" w:leader="none"/>
                          </w:tabs>
                          <w:spacing w:before="249"/>
                          <w:ind w:left="198" w:right="0" w:hanging="1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Decidir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motivadamente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sobre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prosseguimento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contratação;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87" w:val="left" w:leader="none"/>
                          </w:tabs>
                          <w:spacing w:line="247" w:lineRule="auto" w:before="249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Integrante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Administrativo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composição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Planejamento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quando da continuidade da contratação;</w:t>
                        </w:r>
                      </w:p>
                      <w:p>
                        <w:pPr>
                          <w:spacing w:line="249" w:lineRule="exact" w:before="230"/>
                          <w:ind w:left="0" w:right="13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Rio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Branco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Acre,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Abril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762;top:387;width:10410;height:360" type="#_x0000_t202" id="docshape9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ENCAMINHAMENTO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rPr>
          <w:sz w:val="13"/>
        </w:rPr>
      </w:pPr>
    </w:p>
    <w:p>
      <w:pPr>
        <w:spacing w:before="0"/>
        <w:ind w:left="116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460374</wp:posOffset>
            </wp:positionH>
            <wp:positionV relativeFrom="paragraph">
              <wp:posOffset>-103439</wp:posOffset>
            </wp:positionV>
            <wp:extent cx="476249" cy="31432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RONIMAR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FERREIRA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MATOS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Redes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11/04/2024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17:26:42.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136"/>
        <w:rPr>
          <w:rFonts w:ascii="Arial MT"/>
          <w:sz w:val="13"/>
        </w:rPr>
      </w:pPr>
    </w:p>
    <w:p>
      <w:pPr>
        <w:spacing w:before="0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460374</wp:posOffset>
            </wp:positionH>
            <wp:positionV relativeFrom="paragraph">
              <wp:posOffset>-103097</wp:posOffset>
            </wp:positionV>
            <wp:extent cx="476249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11/04/2024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17:23:06.</w:t>
      </w:r>
    </w:p>
    <w:p>
      <w:pPr>
        <w:pStyle w:val="BodyText"/>
        <w:spacing w:before="154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431799</wp:posOffset>
                </wp:positionH>
                <wp:positionV relativeFrom="paragraph">
                  <wp:posOffset>259176</wp:posOffset>
                </wp:positionV>
                <wp:extent cx="670560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407608pt;width:527.999958pt;height:.75pt;mso-position-horizontal-relative:page;mso-position-vertical-relative:paragraph;z-index:-15727616;mso-wrap-distance-left:0;mso-wrap-distance-right:0" id="docshape10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2269" w:val="left" w:leader="none"/>
          <w:tab w:pos="2994" w:val="left" w:leader="none"/>
          <w:tab w:pos="3309" w:val="left" w:leader="none"/>
          <w:tab w:pos="4421" w:val="left" w:leader="none"/>
          <w:tab w:pos="4818" w:val="left" w:leader="none"/>
          <w:tab w:pos="5818" w:val="left" w:leader="none"/>
          <w:tab w:pos="6426" w:val="left" w:leader="none"/>
          <w:tab w:pos="6862" w:val="left" w:leader="none"/>
          <w:tab w:pos="7413" w:val="left" w:leader="none"/>
          <w:tab w:pos="7810" w:val="left" w:leader="none"/>
          <w:tab w:pos="8618" w:val="left" w:leader="none"/>
          <w:tab w:pos="9012" w:val="left" w:leader="none"/>
          <w:tab w:pos="9711" w:val="left" w:leader="none"/>
          <w:tab w:pos="10025" w:val="left" w:leader="none"/>
        </w:tabs>
        <w:spacing w:before="39"/>
        <w:ind w:left="1724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pacing w:val="-4"/>
          <w:sz w:val="15"/>
        </w:rPr>
        <w:t>Para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conferir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10"/>
          <w:sz w:val="15"/>
        </w:rPr>
        <w:t>a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autenticidade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5"/>
          <w:sz w:val="15"/>
        </w:rPr>
        <w:t>do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documento,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utilize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5"/>
          <w:sz w:val="15"/>
        </w:rPr>
        <w:t>um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leitor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5"/>
          <w:sz w:val="15"/>
        </w:rPr>
        <w:t>de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QRCode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5"/>
          <w:sz w:val="15"/>
        </w:rPr>
        <w:t>ou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acesse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10"/>
          <w:sz w:val="15"/>
        </w:rPr>
        <w:t>o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2"/>
          <w:sz w:val="15"/>
        </w:rPr>
        <w:t>endereço</w:t>
      </w:r>
    </w:p>
    <w:p>
      <w:pPr>
        <w:spacing w:after="0"/>
        <w:jc w:val="left"/>
        <w:rPr>
          <w:rFonts w:ascii="Arial MT" w:hAnsi="Arial MT"/>
          <w:sz w:val="15"/>
        </w:rPr>
        <w:sectPr>
          <w:pgSz w:w="11900" w:h="16840"/>
          <w:pgMar w:header="500" w:footer="912" w:top="2000" w:bottom="1100" w:left="560" w:right="540"/>
        </w:sectPr>
      </w:pPr>
    </w:p>
    <w:p>
      <w:pPr>
        <w:pStyle w:val="BodyText"/>
        <w:rPr>
          <w:rFonts w:ascii="Arial MT"/>
          <w:sz w:val="15"/>
        </w:rPr>
      </w:pPr>
    </w:p>
    <w:p>
      <w:pPr>
        <w:pStyle w:val="BodyText"/>
        <w:rPr>
          <w:rFonts w:ascii="Arial MT"/>
          <w:sz w:val="15"/>
        </w:r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tabs>
          <w:tab w:pos="8519" w:val="left" w:leader="none"/>
          <w:tab w:pos="8891" w:val="left" w:leader="none"/>
          <w:tab w:pos="9671" w:val="left" w:leader="none"/>
          <w:tab w:pos="10045" w:val="left" w:leader="none"/>
        </w:tabs>
        <w:spacing w:before="0"/>
        <w:ind w:left="1724" w:right="0" w:firstLine="0"/>
        <w:jc w:val="left"/>
        <w:rPr>
          <w:rFonts w:ascii="Arial MT"/>
          <w:sz w:val="1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544194</wp:posOffset>
            </wp:positionH>
            <wp:positionV relativeFrom="paragraph">
              <wp:posOffset>87590</wp:posOffset>
            </wp:positionV>
            <wp:extent cx="781049" cy="78104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"/>
            <w:b/>
            <w:spacing w:val="-2"/>
            <w:sz w:val="15"/>
          </w:rPr>
          <w:t>http://appgrp.tjac.jus.br/grp/acessoexterno/programaAcessoExterno.faces?codigo=670270</w:t>
        </w:r>
      </w:hyperlink>
      <w:r>
        <w:rPr>
          <w:rFonts w:ascii="Arial"/>
          <w:b/>
          <w:sz w:val="15"/>
        </w:rPr>
        <w:tab/>
      </w:r>
      <w:r>
        <w:rPr>
          <w:rFonts w:ascii="Arial MT"/>
          <w:spacing w:val="-10"/>
          <w:sz w:val="15"/>
        </w:rPr>
        <w:t>e</w:t>
      </w:r>
      <w:r>
        <w:rPr>
          <w:rFonts w:ascii="Arial MT"/>
          <w:sz w:val="15"/>
        </w:rPr>
        <w:tab/>
      </w:r>
      <w:r>
        <w:rPr>
          <w:rFonts w:ascii="Arial MT"/>
          <w:spacing w:val="-2"/>
          <w:sz w:val="15"/>
        </w:rPr>
        <w:t>informe</w:t>
      </w:r>
      <w:r>
        <w:rPr>
          <w:rFonts w:ascii="Arial MT"/>
          <w:sz w:val="15"/>
        </w:rPr>
        <w:tab/>
      </w:r>
      <w:r>
        <w:rPr>
          <w:rFonts w:ascii="Arial MT"/>
          <w:spacing w:val="-10"/>
          <w:sz w:val="15"/>
        </w:rPr>
        <w:t>a</w:t>
      </w:r>
      <w:r>
        <w:rPr>
          <w:rFonts w:ascii="Arial MT"/>
          <w:sz w:val="15"/>
        </w:rPr>
        <w:tab/>
      </w:r>
      <w:r>
        <w:rPr>
          <w:rFonts w:ascii="Arial MT"/>
          <w:spacing w:val="-2"/>
          <w:sz w:val="15"/>
        </w:rPr>
        <w:t>chancela</w:t>
      </w:r>
    </w:p>
    <w:p>
      <w:pPr>
        <w:spacing w:before="7"/>
        <w:ind w:left="172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sz w:val="15"/>
        </w:rPr>
        <w:t>YIIZ.5KNZ.68V0.LAQV</w:t>
      </w:r>
    </w:p>
    <w:sectPr>
      <w:pgSz w:w="11900" w:h="16840"/>
      <w:pgMar w:header="500" w:footer="912" w:top="2000" w:bottom="11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467323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line="288" w:lineRule="auto" w:before="20"/>
                            <w:ind w:left="20" w:right="245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 Tribunal de Justiça, s/n. Via Verde.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3302-0408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797127pt;margin-top:785.336304pt;width:146.9pt;height:27.35pt;mso-position-horizontal-relative:page;mso-position-vertical-relative:page;z-index:-1587353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line="288" w:lineRule="auto" w:before="20"/>
                      <w:ind w:left="20" w:right="245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 Tribunal de Justiça, s/n. Via Verde.</w:t>
                    </w:r>
                    <w:r>
                      <w:rPr>
                        <w:rFonts w:ascii="Arial MT" w:hAnsi="Arial MT"/>
                        <w:spacing w:val="40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69.915-631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Rio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Branco-AC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(68)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3302-0408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3303387</wp:posOffset>
          </wp:positionH>
          <wp:positionV relativeFrom="page">
            <wp:posOffset>317633</wp:posOffset>
          </wp:positionV>
          <wp:extent cx="952900" cy="7623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00" cy="76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98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0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5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0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5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0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5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0" w:hanging="19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lowerRoman"/>
      <w:lvlText w:val="%1."/>
      <w:lvlJc w:val="left"/>
      <w:pPr>
        <w:ind w:left="356" w:hanging="3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0" w:hanging="3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1" w:hanging="3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1" w:hanging="3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3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2" w:hanging="3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3" w:hanging="3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3" w:hanging="3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35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240" w:hanging="2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2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5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0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02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5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7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0" w:hanging="21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0" w:hanging="2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4"/>
        <w:w w:val="8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4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9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3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8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2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7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1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6" w:hanging="248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3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unior.martins@tjac.jus.br" TargetMode="External"/><Relationship Id="rId8" Type="http://schemas.openxmlformats.org/officeDocument/2006/relationships/hyperlink" Target="mailto:elson.oliveira@tjac.jus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appgrp.tjac.jus.br/grp/acessoexterno/programaAcessoExterno.faces?codigo=670270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2024-06-27T19:56:35Z</dcterms:created>
  <dcterms:modified xsi:type="dcterms:W3CDTF">2024-06-27T19:56:35Z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2024-06-27T00:00:00Z</vt:filetime>
  </property>
  <property fmtid="{D5CDD505-2E9C-101B-9397-08002B2CF9AE}" pid="5" name="Producer">
    <vt:lpwstr>Skia/PDF m86</vt:lpwstr>
  </property>
</Properties>
</file>