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D6" w:rsidRDefault="00C7485A" w:rsidP="005F12C8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7.45pt;margin-top:-87.8pt;width:595.5pt;height:843.75pt;z-index:251659264;mso-position-horizontal-relative:margin;mso-position-vertical-relative:margin">
            <v:imagedata r:id="rId8" o:title="Capa Relatório PTD  (1)"/>
            <w10:wrap type="square" anchorx="margin" anchory="margin"/>
          </v:shape>
        </w:pict>
      </w:r>
      <w:bookmarkEnd w:id="0"/>
    </w:p>
    <w:p w:rsidR="0051541B" w:rsidRPr="0051541B" w:rsidRDefault="0051541B" w:rsidP="00F02A00">
      <w:pPr>
        <w:spacing w:after="0" w:line="240" w:lineRule="auto"/>
        <w:ind w:firstLine="0"/>
        <w:jc w:val="right"/>
        <w:rPr>
          <w:rFonts w:ascii="Cambria" w:eastAsia="Cambria" w:hAnsi="Cambria" w:cs="Cambria"/>
          <w:b/>
          <w:szCs w:val="24"/>
          <w:lang w:eastAsia="pt-BR"/>
        </w:rPr>
      </w:pPr>
      <w:r w:rsidRPr="0051541B">
        <w:rPr>
          <w:rFonts w:ascii="Cambria" w:eastAsia="Cambria" w:hAnsi="Cambria" w:cs="Cambria"/>
          <w:b/>
          <w:szCs w:val="24"/>
          <w:lang w:eastAsia="pt-BR"/>
        </w:rPr>
        <w:lastRenderedPageBreak/>
        <w:t>PRESIDENTE</w:t>
      </w:r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  <w:r w:rsidRPr="00F02A00">
        <w:rPr>
          <w:rFonts w:ascii="Cambria" w:eastAsia="Cambria" w:hAnsi="Cambria" w:cs="Cambria"/>
          <w:szCs w:val="24"/>
          <w:lang w:eastAsia="pt-BR"/>
        </w:rPr>
        <w:t>Desembargadora Regina</w:t>
      </w:r>
      <w:r w:rsidRPr="0051541B">
        <w:rPr>
          <w:rFonts w:ascii="Cambria" w:eastAsia="Cambria" w:hAnsi="Cambria" w:cs="Cambria"/>
          <w:szCs w:val="24"/>
          <w:lang w:eastAsia="pt-BR"/>
        </w:rPr>
        <w:t xml:space="preserve"> Ferrari</w:t>
      </w:r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b/>
          <w:szCs w:val="24"/>
          <w:lang w:eastAsia="pt-BR"/>
        </w:rPr>
      </w:pPr>
      <w:r w:rsidRPr="0051541B">
        <w:rPr>
          <w:rFonts w:ascii="Cambria" w:eastAsia="Cambria" w:hAnsi="Cambria" w:cs="Cambria"/>
          <w:b/>
          <w:szCs w:val="24"/>
          <w:lang w:eastAsia="pt-BR"/>
        </w:rPr>
        <w:t>VICE-PRESIDENTE</w:t>
      </w:r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  <w:r w:rsidRPr="0051541B">
        <w:rPr>
          <w:rFonts w:ascii="Cambria" w:eastAsia="Cambria" w:hAnsi="Cambria" w:cs="Cambria"/>
          <w:szCs w:val="24"/>
          <w:lang w:eastAsia="pt-BR"/>
        </w:rPr>
        <w:t xml:space="preserve">Desembargador Luís </w:t>
      </w:r>
      <w:proofErr w:type="spellStart"/>
      <w:r w:rsidRPr="0051541B">
        <w:rPr>
          <w:rFonts w:ascii="Cambria" w:eastAsia="Cambria" w:hAnsi="Cambria" w:cs="Cambria"/>
          <w:szCs w:val="24"/>
          <w:lang w:eastAsia="pt-BR"/>
        </w:rPr>
        <w:t>Camolez</w:t>
      </w:r>
      <w:proofErr w:type="spellEnd"/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b/>
          <w:szCs w:val="24"/>
          <w:lang w:eastAsia="pt-BR"/>
        </w:rPr>
      </w:pPr>
      <w:r w:rsidRPr="0051541B">
        <w:rPr>
          <w:rFonts w:ascii="Cambria" w:eastAsia="Cambria" w:hAnsi="Cambria" w:cs="Cambria"/>
          <w:b/>
          <w:szCs w:val="24"/>
          <w:lang w:eastAsia="pt-BR"/>
        </w:rPr>
        <w:t>CORREGEDOR GERAL DE JUSTIÇA</w:t>
      </w:r>
    </w:p>
    <w:p w:rsid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  <w:r w:rsidRPr="0051541B">
        <w:rPr>
          <w:rFonts w:ascii="Cambria" w:eastAsia="Cambria" w:hAnsi="Cambria" w:cs="Cambria"/>
          <w:szCs w:val="24"/>
          <w:lang w:eastAsia="pt-BR"/>
        </w:rPr>
        <w:t>Desembargador Samuel Evangelista</w:t>
      </w:r>
    </w:p>
    <w:p w:rsid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</w:p>
    <w:p w:rsidR="00E57422" w:rsidRPr="00E57422" w:rsidRDefault="00E57422" w:rsidP="00E57422">
      <w:pPr>
        <w:spacing w:after="0" w:line="240" w:lineRule="auto"/>
        <w:ind w:firstLine="0"/>
        <w:jc w:val="right"/>
        <w:rPr>
          <w:rFonts w:ascii="Cambria" w:eastAsia="Cambria" w:hAnsi="Cambria" w:cs="Cambria"/>
          <w:b/>
          <w:sz w:val="22"/>
          <w:lang w:eastAsia="pt-BR"/>
        </w:rPr>
      </w:pPr>
      <w:r w:rsidRPr="00E57422">
        <w:rPr>
          <w:rFonts w:ascii="Cambria" w:eastAsia="Cambria" w:hAnsi="Cambria" w:cs="Cambria"/>
          <w:b/>
          <w:sz w:val="22"/>
          <w:lang w:eastAsia="pt-BR"/>
        </w:rPr>
        <w:t>COMITÊ GESTOR DE TECNOLOGIA DA INFORMAÇÃO E COMUNICAÇÃO RESOLUÇÃO</w:t>
      </w:r>
    </w:p>
    <w:p w:rsidR="0051541B" w:rsidRPr="0051541B" w:rsidRDefault="00E57422" w:rsidP="00E57422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  <w:r w:rsidRPr="00E57422">
        <w:rPr>
          <w:rFonts w:ascii="Cambria" w:eastAsia="Cambria" w:hAnsi="Cambria" w:cs="Cambria"/>
          <w:szCs w:val="24"/>
          <w:lang w:eastAsia="pt-BR"/>
        </w:rPr>
        <w:t>Nº 226 / 2018</w:t>
      </w:r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b/>
          <w:szCs w:val="24"/>
          <w:lang w:eastAsia="pt-BR"/>
        </w:rPr>
      </w:pPr>
      <w:r w:rsidRPr="0051541B">
        <w:rPr>
          <w:rFonts w:ascii="Cambria" w:eastAsia="Cambria" w:hAnsi="Cambria" w:cs="Cambria"/>
          <w:b/>
          <w:szCs w:val="24"/>
          <w:lang w:eastAsia="pt-BR"/>
        </w:rPr>
        <w:t>DIRETORA DE TECNOLOGIA DA INFORMAÇÃO E COMUNICAÇÃO</w:t>
      </w:r>
    </w:p>
    <w:p w:rsidR="0051541B" w:rsidRPr="0051541B" w:rsidRDefault="0051541B" w:rsidP="0051541B">
      <w:pPr>
        <w:spacing w:after="0" w:line="240" w:lineRule="auto"/>
        <w:ind w:firstLine="0"/>
        <w:jc w:val="right"/>
        <w:rPr>
          <w:rFonts w:ascii="Cambria" w:eastAsia="Cambria" w:hAnsi="Cambria" w:cs="Cambria"/>
          <w:szCs w:val="24"/>
          <w:lang w:eastAsia="pt-BR"/>
        </w:rPr>
      </w:pPr>
      <w:r w:rsidRPr="0051541B">
        <w:rPr>
          <w:rFonts w:ascii="Cambria" w:eastAsia="Cambria" w:hAnsi="Cambria" w:cs="Cambria"/>
          <w:szCs w:val="24"/>
          <w:lang w:eastAsia="pt-BR"/>
        </w:rPr>
        <w:t>Raquel Cunha</w:t>
      </w:r>
    </w:p>
    <w:p w:rsidR="001664D6" w:rsidRDefault="001664D6" w:rsidP="005F12C8"/>
    <w:p w:rsidR="001664D6" w:rsidRDefault="001664D6" w:rsidP="005F12C8">
      <w:r>
        <w:br w:type="page"/>
      </w:r>
    </w:p>
    <w:sdt>
      <w:sdtPr>
        <w:rPr>
          <w:rFonts w:asciiTheme="minorHAnsi" w:eastAsiaTheme="minorHAnsi" w:hAnsiTheme="minorHAnsi" w:cstheme="minorBidi"/>
          <w:b w:val="0"/>
          <w:caps w:val="0"/>
          <w:color w:val="auto"/>
          <w:sz w:val="24"/>
          <w:szCs w:val="22"/>
          <w:lang w:eastAsia="en-US"/>
        </w:rPr>
        <w:id w:val="1408731286"/>
        <w:docPartObj>
          <w:docPartGallery w:val="Table of Contents"/>
          <w:docPartUnique/>
        </w:docPartObj>
      </w:sdtPr>
      <w:sdtEndPr/>
      <w:sdtContent>
        <w:p w:rsidR="001664D6" w:rsidRDefault="001664D6" w:rsidP="005F12C8">
          <w:pPr>
            <w:pStyle w:val="CabealhodoSumrio"/>
          </w:pPr>
          <w:r>
            <w:t>Sumário</w:t>
          </w:r>
        </w:p>
        <w:p w:rsidR="00970DCA" w:rsidRDefault="001664D6">
          <w:pPr>
            <w:pStyle w:val="Sumrio1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704346" w:history="1">
            <w:r w:rsidR="00970DCA" w:rsidRPr="00D3285C">
              <w:rPr>
                <w:rStyle w:val="Hyperlink"/>
                <w:noProof/>
              </w:rPr>
              <w:t>1.</w:t>
            </w:r>
            <w:r w:rsidR="00970DCA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970DCA" w:rsidRPr="00D3285C">
              <w:rPr>
                <w:rStyle w:val="Hyperlink"/>
                <w:noProof/>
              </w:rPr>
              <w:t>Introdução</w:t>
            </w:r>
            <w:r w:rsidR="00970DCA">
              <w:rPr>
                <w:noProof/>
                <w:webHidden/>
              </w:rPr>
              <w:tab/>
            </w:r>
            <w:r w:rsidR="00970DCA">
              <w:rPr>
                <w:noProof/>
                <w:webHidden/>
              </w:rPr>
              <w:fldChar w:fldCharType="begin"/>
            </w:r>
            <w:r w:rsidR="00970DCA">
              <w:rPr>
                <w:noProof/>
                <w:webHidden/>
              </w:rPr>
              <w:instrText xml:space="preserve"> PAGEREF _Toc148704346 \h </w:instrText>
            </w:r>
            <w:r w:rsidR="00970DCA">
              <w:rPr>
                <w:noProof/>
                <w:webHidden/>
              </w:rPr>
            </w:r>
            <w:r w:rsidR="00970DCA">
              <w:rPr>
                <w:noProof/>
                <w:webHidden/>
              </w:rPr>
              <w:fldChar w:fldCharType="separate"/>
            </w:r>
            <w:r w:rsidR="00E95EB0">
              <w:rPr>
                <w:noProof/>
                <w:webHidden/>
              </w:rPr>
              <w:t>5</w:t>
            </w:r>
            <w:r w:rsidR="00970DCA">
              <w:rPr>
                <w:noProof/>
                <w:webHidden/>
              </w:rPr>
              <w:fldChar w:fldCharType="end"/>
            </w:r>
          </w:hyperlink>
        </w:p>
        <w:p w:rsidR="00970DCA" w:rsidRDefault="00FB4164">
          <w:pPr>
            <w:pStyle w:val="Sumrio1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48704347" w:history="1">
            <w:r w:rsidR="00970DCA" w:rsidRPr="00D3285C">
              <w:rPr>
                <w:rStyle w:val="Hyperlink"/>
                <w:noProof/>
              </w:rPr>
              <w:t>2.</w:t>
            </w:r>
            <w:r w:rsidR="00970DCA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970DCA" w:rsidRPr="00D3285C">
              <w:rPr>
                <w:rStyle w:val="Hyperlink"/>
                <w:noProof/>
              </w:rPr>
              <w:t>Objetivo</w:t>
            </w:r>
            <w:r w:rsidR="00970DCA">
              <w:rPr>
                <w:noProof/>
                <w:webHidden/>
              </w:rPr>
              <w:tab/>
            </w:r>
            <w:r w:rsidR="00970DCA">
              <w:rPr>
                <w:noProof/>
                <w:webHidden/>
              </w:rPr>
              <w:fldChar w:fldCharType="begin"/>
            </w:r>
            <w:r w:rsidR="00970DCA">
              <w:rPr>
                <w:noProof/>
                <w:webHidden/>
              </w:rPr>
              <w:instrText xml:space="preserve"> PAGEREF _Toc148704347 \h </w:instrText>
            </w:r>
            <w:r w:rsidR="00970DCA">
              <w:rPr>
                <w:noProof/>
                <w:webHidden/>
              </w:rPr>
            </w:r>
            <w:r w:rsidR="00970DCA">
              <w:rPr>
                <w:noProof/>
                <w:webHidden/>
              </w:rPr>
              <w:fldChar w:fldCharType="separate"/>
            </w:r>
            <w:r w:rsidR="00E95EB0">
              <w:rPr>
                <w:noProof/>
                <w:webHidden/>
              </w:rPr>
              <w:t>6</w:t>
            </w:r>
            <w:r w:rsidR="00970DCA">
              <w:rPr>
                <w:noProof/>
                <w:webHidden/>
              </w:rPr>
              <w:fldChar w:fldCharType="end"/>
            </w:r>
          </w:hyperlink>
        </w:p>
        <w:p w:rsidR="00970DCA" w:rsidRDefault="00FB4164">
          <w:pPr>
            <w:pStyle w:val="Sumrio1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48704348" w:history="1">
            <w:r w:rsidR="00970DCA" w:rsidRPr="00D3285C">
              <w:rPr>
                <w:rStyle w:val="Hyperlink"/>
                <w:noProof/>
              </w:rPr>
              <w:t>3.</w:t>
            </w:r>
            <w:r w:rsidR="00970DCA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970DCA" w:rsidRPr="00D3285C">
              <w:rPr>
                <w:rStyle w:val="Hyperlink"/>
                <w:noProof/>
              </w:rPr>
              <w:t>Relatório de execução das ações do Plano de Transformação Digital</w:t>
            </w:r>
            <w:r w:rsidR="00970DCA">
              <w:rPr>
                <w:noProof/>
                <w:webHidden/>
              </w:rPr>
              <w:tab/>
            </w:r>
            <w:r w:rsidR="00970DCA">
              <w:rPr>
                <w:noProof/>
                <w:webHidden/>
              </w:rPr>
              <w:fldChar w:fldCharType="begin"/>
            </w:r>
            <w:r w:rsidR="00970DCA">
              <w:rPr>
                <w:noProof/>
                <w:webHidden/>
              </w:rPr>
              <w:instrText xml:space="preserve"> PAGEREF _Toc148704348 \h </w:instrText>
            </w:r>
            <w:r w:rsidR="00970DCA">
              <w:rPr>
                <w:noProof/>
                <w:webHidden/>
              </w:rPr>
            </w:r>
            <w:r w:rsidR="00970DCA">
              <w:rPr>
                <w:noProof/>
                <w:webHidden/>
              </w:rPr>
              <w:fldChar w:fldCharType="separate"/>
            </w:r>
            <w:r w:rsidR="00E95EB0">
              <w:rPr>
                <w:noProof/>
                <w:webHidden/>
              </w:rPr>
              <w:t>6</w:t>
            </w:r>
            <w:r w:rsidR="00970DCA">
              <w:rPr>
                <w:noProof/>
                <w:webHidden/>
              </w:rPr>
              <w:fldChar w:fldCharType="end"/>
            </w:r>
          </w:hyperlink>
        </w:p>
        <w:p w:rsidR="001664D6" w:rsidRDefault="001664D6" w:rsidP="005F12C8">
          <w:r>
            <w:fldChar w:fldCharType="end"/>
          </w:r>
        </w:p>
      </w:sdtContent>
    </w:sdt>
    <w:p w:rsidR="001664D6" w:rsidRDefault="001664D6" w:rsidP="005F12C8">
      <w:r>
        <w:br w:type="page"/>
      </w:r>
    </w:p>
    <w:p w:rsidR="00FC77F1" w:rsidRDefault="001664D6" w:rsidP="005F12C8">
      <w:pPr>
        <w:pStyle w:val="CabealhodoSumrio"/>
      </w:pPr>
      <w:r>
        <w:lastRenderedPageBreak/>
        <w:t>Índice de Tabelas</w:t>
      </w:r>
    </w:p>
    <w:p w:rsidR="00970DCA" w:rsidRDefault="00353A73">
      <w:pPr>
        <w:pStyle w:val="ndicedeilustraes"/>
        <w:tabs>
          <w:tab w:val="right" w:leader="dot" w:pos="9628"/>
        </w:tabs>
        <w:rPr>
          <w:rFonts w:eastAsiaTheme="minorEastAsia"/>
          <w:noProof/>
          <w:sz w:val="22"/>
          <w:lang w:eastAsia="pt-BR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148704352" w:history="1">
        <w:r w:rsidR="00970DCA" w:rsidRPr="0007611C">
          <w:rPr>
            <w:rStyle w:val="Hyperlink"/>
            <w:noProof/>
          </w:rPr>
          <w:t>Tabela 1 - Status das Ações do Plano de Transformação Digital</w:t>
        </w:r>
        <w:r w:rsidR="00970DCA">
          <w:rPr>
            <w:noProof/>
            <w:webHidden/>
          </w:rPr>
          <w:tab/>
        </w:r>
        <w:r w:rsidR="00970DCA">
          <w:rPr>
            <w:noProof/>
            <w:webHidden/>
          </w:rPr>
          <w:fldChar w:fldCharType="begin"/>
        </w:r>
        <w:r w:rsidR="00970DCA">
          <w:rPr>
            <w:noProof/>
            <w:webHidden/>
          </w:rPr>
          <w:instrText xml:space="preserve"> PAGEREF _Toc148704352 \h </w:instrText>
        </w:r>
        <w:r w:rsidR="00970DCA">
          <w:rPr>
            <w:noProof/>
            <w:webHidden/>
          </w:rPr>
        </w:r>
        <w:r w:rsidR="00970DCA">
          <w:rPr>
            <w:noProof/>
            <w:webHidden/>
          </w:rPr>
          <w:fldChar w:fldCharType="separate"/>
        </w:r>
        <w:r w:rsidR="00E95EB0">
          <w:rPr>
            <w:noProof/>
            <w:webHidden/>
          </w:rPr>
          <w:t>8</w:t>
        </w:r>
        <w:r w:rsidR="00970DCA">
          <w:rPr>
            <w:noProof/>
            <w:webHidden/>
          </w:rPr>
          <w:fldChar w:fldCharType="end"/>
        </w:r>
      </w:hyperlink>
    </w:p>
    <w:p w:rsidR="001664D6" w:rsidRDefault="00353A73" w:rsidP="005F12C8">
      <w:r>
        <w:rPr>
          <w:b/>
          <w:bCs/>
          <w:noProof/>
        </w:rPr>
        <w:fldChar w:fldCharType="end"/>
      </w:r>
    </w:p>
    <w:p w:rsidR="001664D6" w:rsidRDefault="001664D6" w:rsidP="005F12C8">
      <w:r>
        <w:br w:type="page"/>
      </w:r>
    </w:p>
    <w:p w:rsidR="001664D6" w:rsidRDefault="005F12C8" w:rsidP="005F12C8">
      <w:pPr>
        <w:pStyle w:val="Ttulo1"/>
      </w:pPr>
      <w:bookmarkStart w:id="1" w:name="_Toc148704346"/>
      <w:r>
        <w:lastRenderedPageBreak/>
        <w:t>Introdução</w:t>
      </w:r>
      <w:bookmarkEnd w:id="1"/>
    </w:p>
    <w:p w:rsidR="00E53E1E" w:rsidRDefault="00E53E1E" w:rsidP="00E53E1E">
      <w:r>
        <w:t>Em atendimento aos propósitos das Resoluções 370 de janeiro de 2021, que estabelece a Estratégia Nacional de Tecnologia da Informação e Comunicação do Poder Judiciário; e 270 de fevereiro de 2022, que institui o Sistema de Governança e Gestão do Poder Judiciário, o Tribunal de Justiça do Estado do Acre cumpre com o compromisso institucional e de gestão de melhorar sua atuação, utilizando dos processos organizativos e operativos para a transformação digital como estratégia cumprimento da sua missão. Essa posição visa ampliar e qualificar serviços com a perspectivas voltada à qualidade do atendimento finalístico.</w:t>
      </w:r>
    </w:p>
    <w:p w:rsidR="00E53E1E" w:rsidRDefault="00E53E1E" w:rsidP="00E53E1E">
      <w:r>
        <w:t>É, portanto, papel tático que reafirma a premissa de que a gestão tecnológica deve ser prioridade nos processos de acompanhamento das atividades operacionais. Neste sentido</w:t>
      </w:r>
      <w:r w:rsidR="00F02A00">
        <w:t>,</w:t>
      </w:r>
      <w:r>
        <w:t xml:space="preserve"> segue a </w:t>
      </w:r>
      <w:r w:rsidR="00F02A00">
        <w:t>o status de execução</w:t>
      </w:r>
      <w:r>
        <w:t xml:space="preserve"> </w:t>
      </w:r>
      <w:r w:rsidR="00F02A00">
        <w:t xml:space="preserve">do PTD, </w:t>
      </w:r>
      <w:r>
        <w:t xml:space="preserve">que apresenta propostas para atender a gestão da Tecnologia de </w:t>
      </w:r>
      <w:r w:rsidR="00F02A00">
        <w:t>I</w:t>
      </w:r>
      <w:r>
        <w:t>nformação, visando o atendimento dos jurisdicionados nas diversas áreas de atuação institucional.</w:t>
      </w:r>
    </w:p>
    <w:p w:rsidR="00E53E1E" w:rsidRDefault="00E53E1E" w:rsidP="00E53E1E">
      <w:pPr>
        <w:sectPr w:rsidR="00E53E1E" w:rsidSect="008D374B">
          <w:headerReference w:type="default" r:id="rId9"/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  <w:r>
        <w:t>Conforme os princípios apresentados pelo CNJ, o Plano de Transformação Digital- PTD- pretende ir além dos limites do departamento de tecnologia e comunicação, pautando o engajamento de todas as áreas do órgão como responsáveis pela materialização do Plano.</w:t>
      </w:r>
    </w:p>
    <w:p w:rsidR="00E53E1E" w:rsidRPr="00E53E1E" w:rsidRDefault="00E53E1E" w:rsidP="00E53E1E"/>
    <w:p w:rsidR="00F02A00" w:rsidRDefault="00F02A00" w:rsidP="005F12C8">
      <w:pPr>
        <w:pStyle w:val="Ttulo1"/>
      </w:pPr>
      <w:bookmarkStart w:id="2" w:name="_Toc148704347"/>
      <w:r>
        <w:t>Objetivo</w:t>
      </w:r>
      <w:bookmarkEnd w:id="2"/>
    </w:p>
    <w:p w:rsidR="00F02A00" w:rsidRPr="00F02A00" w:rsidRDefault="00F02A00" w:rsidP="00F02A00">
      <w:r w:rsidRPr="00F02A00">
        <w:t>Atender a análise de conform</w:t>
      </w:r>
      <w:r>
        <w:t xml:space="preserve">idade do </w:t>
      </w:r>
      <w:proofErr w:type="spellStart"/>
      <w:r>
        <w:t>IGovTIC</w:t>
      </w:r>
      <w:proofErr w:type="spellEnd"/>
      <w:r>
        <w:t>-JUD 2023, evidê</w:t>
      </w:r>
      <w:r w:rsidRPr="00F02A00">
        <w:t>ncias e procedimentos.</w:t>
      </w:r>
    </w:p>
    <w:p w:rsidR="00F02A00" w:rsidRPr="00F02A00" w:rsidRDefault="00F02A00" w:rsidP="00F02A00">
      <w:pPr>
        <w:pStyle w:val="Ttulo1"/>
      </w:pPr>
      <w:bookmarkStart w:id="3" w:name="_Toc148704348"/>
      <w:r w:rsidRPr="00F02A00">
        <w:t>Relatório de execução das ações do Plano de Transformação Digital</w:t>
      </w:r>
      <w:bookmarkEnd w:id="3"/>
    </w:p>
    <w:tbl>
      <w:tblPr>
        <w:tblStyle w:val="TabeladeGrade6Colorida-nfase11"/>
        <w:tblW w:w="14454" w:type="dxa"/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4111"/>
        <w:gridCol w:w="5103"/>
        <w:gridCol w:w="1701"/>
      </w:tblGrid>
      <w:tr w:rsidR="00E53E1E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shd w:val="clear" w:color="auto" w:fill="95B3D7"/>
            <w:vAlign w:val="center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53E1E">
              <w:rPr>
                <w:b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701" w:type="dxa"/>
            <w:shd w:val="clear" w:color="auto" w:fill="95B3D7"/>
            <w:vAlign w:val="center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E53E1E">
              <w:rPr>
                <w:b/>
                <w:color w:val="000000"/>
                <w:sz w:val="20"/>
                <w:szCs w:val="20"/>
              </w:rPr>
              <w:t>TEMA/</w:t>
            </w:r>
            <w:r w:rsidR="003821A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53E1E">
              <w:rPr>
                <w:b/>
                <w:color w:val="000000"/>
                <w:sz w:val="20"/>
                <w:szCs w:val="20"/>
              </w:rPr>
              <w:t>PERSPECTIVAS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95B3D7"/>
            <w:vAlign w:val="center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53E1E">
              <w:rPr>
                <w:b/>
                <w:color w:val="000000"/>
                <w:sz w:val="20"/>
                <w:szCs w:val="20"/>
              </w:rPr>
              <w:t>AÇÃO</w:t>
            </w:r>
          </w:p>
        </w:tc>
        <w:tc>
          <w:tcPr>
            <w:tcW w:w="5103" w:type="dxa"/>
            <w:shd w:val="clear" w:color="auto" w:fill="95B3D7"/>
            <w:vAlign w:val="center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E53E1E">
              <w:rPr>
                <w:b/>
                <w:color w:val="000000"/>
                <w:sz w:val="20"/>
                <w:szCs w:val="20"/>
              </w:rPr>
              <w:t>DESCRIÇÃO OBJETIVA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95B3D7"/>
            <w:vAlign w:val="center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STATUS DA EXECUÇÃO</w:t>
            </w:r>
          </w:p>
        </w:tc>
      </w:tr>
      <w:tr w:rsidR="00E53E1E" w:rsidRPr="00E53E1E" w:rsidTr="00970DCA"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Transformação Digital de Serviços</w:t>
            </w:r>
          </w:p>
        </w:tc>
        <w:tc>
          <w:tcPr>
            <w:tcW w:w="1701" w:type="dxa"/>
            <w:vMerge w:val="restart"/>
            <w:vAlign w:val="center"/>
          </w:tcPr>
          <w:p w:rsidR="00E53E1E" w:rsidRPr="00E53E1E" w:rsidRDefault="0008373C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E53E1E" w:rsidRPr="00E53E1E">
              <w:rPr>
                <w:color w:val="000000"/>
                <w:sz w:val="20"/>
                <w:szCs w:val="20"/>
              </w:rPr>
              <w:t>ociedade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Implantação de audiências virtuais</w:t>
            </w:r>
          </w:p>
        </w:tc>
        <w:tc>
          <w:tcPr>
            <w:tcW w:w="5103" w:type="dxa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conciliar ou julgar a causa ouvindo as partes, testemunhas e interessados em audiências virtuais.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3E1E" w:rsidRPr="00E53E1E" w:rsidRDefault="00F02A00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Concluído</w:t>
            </w:r>
          </w:p>
        </w:tc>
      </w:tr>
      <w:tr w:rsidR="00E53E1E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Implantação sistema de atendimento de conciliação</w:t>
            </w:r>
          </w:p>
        </w:tc>
        <w:tc>
          <w:tcPr>
            <w:tcW w:w="5103" w:type="dxa"/>
          </w:tcPr>
          <w:p w:rsidR="00E53E1E" w:rsidRPr="00E53E1E" w:rsidRDefault="00E53E1E" w:rsidP="00E5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Otimizar o tempo, andamento dos trabalhos e melhorar o índice de conciliação.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3E1E" w:rsidRPr="00E53E1E" w:rsidRDefault="00301BE4" w:rsidP="00F02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Concluído</w:t>
            </w:r>
          </w:p>
        </w:tc>
      </w:tr>
      <w:tr w:rsidR="00970DCA" w:rsidRPr="00E53E1E" w:rsidTr="00970DCA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970DCA" w:rsidRPr="00E53E1E" w:rsidRDefault="00970DCA" w:rsidP="0097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0DCA" w:rsidRPr="00E53E1E" w:rsidRDefault="00970DCA" w:rsidP="0097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970DCA" w:rsidRPr="00E53E1E" w:rsidRDefault="00970DCA" w:rsidP="0097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Implantação sistema de atendimento às vítimas de violência doméstica</w:t>
            </w:r>
          </w:p>
        </w:tc>
        <w:tc>
          <w:tcPr>
            <w:tcW w:w="5103" w:type="dxa"/>
          </w:tcPr>
          <w:p w:rsidR="00970DCA" w:rsidRPr="00E53E1E" w:rsidRDefault="00970DCA" w:rsidP="0097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Facilitar e otimizar serviços de Redução dos índices de violência visando a promoção da justiça e da equidade social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970DCA" w:rsidRPr="00E53E1E" w:rsidRDefault="00970DCA" w:rsidP="0097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Implantação sala de depoimento virtual</w:t>
            </w:r>
          </w:p>
        </w:tc>
        <w:tc>
          <w:tcPr>
            <w:tcW w:w="5103" w:type="dxa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Facilitar e otimizar a colheita de depoimentos das partes e das testemunhas conforme o processo legal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Instalação do sistema virtual para comunicados oficiais de justiça</w:t>
            </w:r>
          </w:p>
        </w:tc>
        <w:tc>
          <w:tcPr>
            <w:tcW w:w="5103" w:type="dxa"/>
          </w:tcPr>
          <w:p w:rsidR="00E552C8" w:rsidRPr="00E53E1E" w:rsidRDefault="00E552C8" w:rsidP="0066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E53E1E">
              <w:rPr>
                <w:color w:val="000000"/>
                <w:sz w:val="20"/>
                <w:szCs w:val="20"/>
              </w:rPr>
              <w:t>ealizar a citação por meio do sistema, devidamente certificado de garantias</w:t>
            </w:r>
            <w:r>
              <w:rPr>
                <w:color w:val="000000"/>
                <w:sz w:val="20"/>
                <w:szCs w:val="20"/>
              </w:rPr>
              <w:t>.</w:t>
            </w:r>
            <w:r w:rsidR="00661CB6">
              <w:rPr>
                <w:color w:val="000000"/>
                <w:sz w:val="20"/>
                <w:szCs w:val="20"/>
              </w:rPr>
              <w:t xml:space="preserve"> Já sendo utilizada a ferramenta de whatsapp via digital.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661CB6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Melhorar sistema de ‘boletagem’ para atendimento dos serviços judiciais</w:t>
            </w:r>
          </w:p>
        </w:tc>
        <w:tc>
          <w:tcPr>
            <w:tcW w:w="5103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Sistemas gerador de boletos.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trHeight w:val="4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O deferimento de gratuidades deve ser objeto de campanhas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 xml:space="preserve">Realizar campanhas em diversos canais de comunição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661CB6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planejamento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Processos Internos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Instalação Software para arquivamento de imagens (garantia e segurança de acervo histórico da instituição)</w:t>
            </w:r>
          </w:p>
        </w:tc>
        <w:tc>
          <w:tcPr>
            <w:tcW w:w="5103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Garantir segurança de acerto institucional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Elaboração e implantação de Política de Segurança da Informação</w:t>
            </w:r>
          </w:p>
        </w:tc>
        <w:tc>
          <w:tcPr>
            <w:tcW w:w="5103" w:type="dxa"/>
            <w:shd w:val="clear" w:color="auto" w:fill="FFFFFF" w:themeFill="background1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Estabelecer as orientações, normas, ações e responsabilidades relativas a proteção da informação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Elaboração e implantação política de atualização do parque computacional</w:t>
            </w:r>
          </w:p>
        </w:tc>
        <w:tc>
          <w:tcPr>
            <w:tcW w:w="5103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 xml:space="preserve">Garantir a infraestrutura às atividades administrativas e judiciais. </w:t>
            </w:r>
          </w:p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Ampliação de recurso para renovar o parque computacional: 1113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Concluído</w:t>
            </w:r>
          </w:p>
        </w:tc>
      </w:tr>
      <w:tr w:rsidR="00E552C8" w:rsidRPr="00E53E1E" w:rsidTr="00970DCA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Disponibilizar links das gravações do Google Meet;</w:t>
            </w:r>
          </w:p>
        </w:tc>
        <w:tc>
          <w:tcPr>
            <w:tcW w:w="5103" w:type="dxa"/>
            <w:shd w:val="clear" w:color="auto" w:fill="FFFFFF" w:themeFill="background1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Tem a finalidade de propor a visualização das reuniões após sua realização.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Concluído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Capitação recursos para investimento na modernização da infraestrutura tecnológica</w:t>
            </w:r>
          </w:p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Articular recursos por meio de convênios e outras modalidades para a capitação de recursos para modernização das infraestruturas tecnologicas do Poder Judiciario como um todo.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661CB6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Concluído</w:t>
            </w:r>
          </w:p>
        </w:tc>
      </w:tr>
      <w:tr w:rsidR="00E552C8" w:rsidRPr="00E53E1E" w:rsidTr="00970DCA">
        <w:trPr>
          <w:trHeight w:val="8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Aprendizado e crescimento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Execução da polítca de capacitação e atualização digital dos servidores</w:t>
            </w:r>
          </w:p>
        </w:tc>
        <w:tc>
          <w:tcPr>
            <w:tcW w:w="5103" w:type="dxa"/>
            <w:shd w:val="clear" w:color="auto" w:fill="FFFFFF" w:themeFill="background1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Desenvolver potencial para uso das tecnologias digitais e aumento da produtividade.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E552C8" w:rsidP="0066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Em </w:t>
            </w:r>
            <w:r w:rsidR="00661CB6">
              <w:rPr>
                <w:color w:val="000000"/>
                <w:sz w:val="20"/>
                <w:szCs w:val="20"/>
              </w:rPr>
              <w:t>andamento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Aprimoramento da comunicação com equipes/clientes internos de serviços para soluções de TIC do Tribunal</w:t>
            </w:r>
          </w:p>
        </w:tc>
        <w:tc>
          <w:tcPr>
            <w:tcW w:w="5103" w:type="dxa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Propiciar o trabalho em conjunto e alinhado entre a equipe para alcançar resultados estratégicos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planejamento</w:t>
            </w:r>
          </w:p>
        </w:tc>
      </w:tr>
      <w:tr w:rsidR="00E552C8" w:rsidRPr="00E53E1E" w:rsidTr="00970DCA">
        <w:trPr>
          <w:trHeight w:val="7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Implantação da Inteligência Artificial em alguns serviç</w:t>
            </w:r>
            <w:r>
              <w:rPr>
                <w:color w:val="000000"/>
                <w:sz w:val="20"/>
                <w:szCs w:val="20"/>
              </w:rPr>
              <w:t>os oferecidos pelo TJAC, JECRIM.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Adquirir soluções afim de implantar sistema de IA no Poder judiciario.</w:t>
            </w:r>
          </w:p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Realizar experimentos de serviços oferecidos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:rsidR="00E552C8" w:rsidRPr="00E53E1E" w:rsidRDefault="00E552C8" w:rsidP="00E552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552C8" w:rsidRPr="00E53E1E" w:rsidRDefault="00E552C8" w:rsidP="00E552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E1E">
              <w:rPr>
                <w:sz w:val="20"/>
                <w:szCs w:val="20"/>
              </w:rPr>
              <w:t>Integração de canais digitais</w:t>
            </w:r>
          </w:p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Sociedade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Integração se sistemas em conformidade com o CNJ.</w:t>
            </w:r>
          </w:p>
        </w:tc>
        <w:tc>
          <w:tcPr>
            <w:tcW w:w="5103" w:type="dxa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Garantir comunicação e agilidade de processos informativos e operativos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trHeight w:val="1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Processos internos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Implantação de ferramenta para  acompanhamento de planejamento estratégico e operacional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 xml:space="preserve"> Acompanhar e avaliar resultados dos planejamentos: estratégico e operacional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661CB6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Implantação (fortalecimento) de serviços de consulta para Assessoria Militar (SAJ e SEEU)</w:t>
            </w:r>
          </w:p>
        </w:tc>
        <w:tc>
          <w:tcPr>
            <w:tcW w:w="5103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Facilitar serviços de consultas da ASMIL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661CB6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Concluído</w:t>
            </w:r>
          </w:p>
        </w:tc>
      </w:tr>
      <w:tr w:rsidR="00E552C8" w:rsidRPr="00E53E1E" w:rsidTr="00970DCA">
        <w:trPr>
          <w:trHeight w:val="1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Integração/melhoramento do sistema de compra/pagamento/controle</w:t>
            </w:r>
          </w:p>
        </w:tc>
        <w:tc>
          <w:tcPr>
            <w:tcW w:w="5103" w:type="dxa"/>
            <w:shd w:val="clear" w:color="auto" w:fill="FFFFFF" w:themeFill="background1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 xml:space="preserve"> Otimizar processos operacionais e mensurar resultados e controles dos investimentos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661CB6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Promover a distribuição de processos já no JUÍZO 100% DIGITAL</w:t>
            </w:r>
          </w:p>
        </w:tc>
        <w:tc>
          <w:tcPr>
            <w:tcW w:w="5103" w:type="dxa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O Juízo 100% Digital é uma das ações contempladas na Justiça 4.0, que abrange o balcão virtual, os Núcleos de Justiça 4.0, a implementação de plataformas digitais de inteligência artificial, entre outras ações.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661CB6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trHeight w:val="6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Interoperabilidade de sistemas</w:t>
            </w:r>
          </w:p>
        </w:tc>
        <w:tc>
          <w:tcPr>
            <w:tcW w:w="1701" w:type="dxa"/>
            <w:vMerge w:val="restart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Sociedade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Organizar processos de comunicação de dados entre sistemas</w:t>
            </w:r>
          </w:p>
        </w:tc>
        <w:tc>
          <w:tcPr>
            <w:tcW w:w="5103" w:type="dxa"/>
            <w:shd w:val="clear" w:color="auto" w:fill="FFFFFF" w:themeFill="background1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Garantir comunicação e agilidade de processos informativos e operativos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661CB6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Ampliação da equipe na área de tecnologia</w:t>
            </w:r>
          </w:p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Ampliar a força de trabalho de TIC, com a finalidade de proporcionar maior capacidade operacional de atendimento as demandas para eficiencia do Poder Judiciario frente as necessidades da sociedade.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1721E7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trHeight w:val="1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Aprendizagem e crescimento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Implantação da Tecnologia de BI</w:t>
            </w:r>
          </w:p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(Alterar contrato para amplificar as variáveis de BI)</w:t>
            </w:r>
          </w:p>
        </w:tc>
        <w:tc>
          <w:tcPr>
            <w:tcW w:w="5103" w:type="dxa"/>
            <w:shd w:val="clear" w:color="auto" w:fill="FFFFFF" w:themeFill="background1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Guardar e interpretar adequadamente os dados com a ajuda de softwares; Contribuir com as decisões dos gestores de forma mais efetiva.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1721E7" w:rsidP="001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fase de conclusão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Processo interno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Aquisição do 2º data center – segurança/backup de informações (primeira fase)</w:t>
            </w:r>
          </w:p>
        </w:tc>
        <w:tc>
          <w:tcPr>
            <w:tcW w:w="5103" w:type="dxa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 xml:space="preserve"> Garantir proteção e acesso a informações em tempo integral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1721E7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implantação</w:t>
            </w:r>
          </w:p>
        </w:tc>
      </w:tr>
      <w:tr w:rsidR="00E552C8" w:rsidRPr="00E53E1E" w:rsidTr="00970DCA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Reestruturar o Portal da Internet e Intranet do TJAC</w:t>
            </w:r>
          </w:p>
        </w:tc>
        <w:tc>
          <w:tcPr>
            <w:tcW w:w="5103" w:type="dxa"/>
            <w:shd w:val="clear" w:color="auto" w:fill="FFFFFF" w:themeFill="background1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Garantir permanente funcionalidade dos sistemas de comunicação interna e externa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1721E7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Concluído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:rsidR="00E552C8" w:rsidRPr="00E53E1E" w:rsidRDefault="00E552C8" w:rsidP="00E552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552C8" w:rsidRPr="00E53E1E" w:rsidRDefault="00E552C8" w:rsidP="00E552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E1E">
              <w:rPr>
                <w:sz w:val="20"/>
                <w:szCs w:val="20"/>
              </w:rPr>
              <w:t>Estratégia de monitoramento</w:t>
            </w:r>
          </w:p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52C8" w:rsidRPr="00E53E1E" w:rsidRDefault="00E552C8" w:rsidP="00E552C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E1E">
              <w:rPr>
                <w:sz w:val="20"/>
                <w:szCs w:val="20"/>
              </w:rPr>
              <w:t>Sociedade</w:t>
            </w:r>
          </w:p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Aprimoramento do processo de gestão e contratação de bens e serviços TIC</w:t>
            </w:r>
          </w:p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Que atende ao tribunal e à Sociedade</w:t>
            </w:r>
          </w:p>
        </w:tc>
        <w:tc>
          <w:tcPr>
            <w:tcW w:w="5103" w:type="dxa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 xml:space="preserve"> Estabelecer melhor relação institucional com fornecedores e Garantir a execução de ações de TIC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1721E7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trHeight w:val="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52C8" w:rsidRPr="00E53E1E" w:rsidRDefault="00E552C8" w:rsidP="00E552C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E1E">
              <w:rPr>
                <w:sz w:val="20"/>
                <w:szCs w:val="20"/>
              </w:rPr>
              <w:t>Processo Internos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Sustentação o portal da governança e gestão de TIC</w:t>
            </w:r>
          </w:p>
        </w:tc>
        <w:tc>
          <w:tcPr>
            <w:tcW w:w="5103" w:type="dxa"/>
            <w:shd w:val="clear" w:color="auto" w:fill="FFFFFF" w:themeFill="background1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 xml:space="preserve">Fortalecer processo organizativo para balizar as decisões de TIC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1721E7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Criação do canal de comunicação entre convênios, licitação e setor de compras.</w:t>
            </w:r>
          </w:p>
        </w:tc>
        <w:tc>
          <w:tcPr>
            <w:tcW w:w="5103" w:type="dxa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Possibilitar gestão de compras com maior agilidade e controle dos gestores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1721E7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trHeight w:val="1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Criação de ferramenta digital  de monitoramento de manutenção de equipamentos</w:t>
            </w:r>
          </w:p>
        </w:tc>
        <w:tc>
          <w:tcPr>
            <w:tcW w:w="5103" w:type="dxa"/>
            <w:shd w:val="clear" w:color="auto" w:fill="FFFFFF" w:themeFill="background1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 xml:space="preserve">Garantir gestão ecomicidade e praticidade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1721E7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E552C8" w:rsidRPr="00E53E1E" w:rsidRDefault="00E552C8" w:rsidP="00E552C8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Definir gestão gerencial de BI, definindo como vai ser a mineração e extração de dados;</w:t>
            </w:r>
          </w:p>
        </w:tc>
        <w:tc>
          <w:tcPr>
            <w:tcW w:w="5103" w:type="dxa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Garantir gestão gerencial por meio de BI, com foco em resultados em mineração e extração de dados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E552C8" w:rsidRPr="00E53E1E" w:rsidRDefault="00865CDC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</w:p>
        </w:tc>
      </w:tr>
      <w:tr w:rsidR="00E552C8" w:rsidRPr="00E53E1E" w:rsidTr="00970DCA">
        <w:trPr>
          <w:trHeight w:val="9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E552C8" w:rsidRPr="00E53E1E" w:rsidRDefault="00E552C8" w:rsidP="00E552C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3E1E">
              <w:rPr>
                <w:sz w:val="20"/>
                <w:szCs w:val="20"/>
              </w:rPr>
              <w:t>Aprendizado e crescimento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Implantação sistema de acompanhamento e gestão de riscos utilizando de ferramentas digitais e em TI.</w:t>
            </w:r>
          </w:p>
        </w:tc>
        <w:tc>
          <w:tcPr>
            <w:tcW w:w="5103" w:type="dxa"/>
            <w:shd w:val="clear" w:color="auto" w:fill="FFFFFF" w:themeFill="background1"/>
          </w:tcPr>
          <w:p w:rsidR="00E552C8" w:rsidRPr="00E53E1E" w:rsidRDefault="00E552C8" w:rsidP="00E5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53E1E">
              <w:rPr>
                <w:color w:val="000000"/>
                <w:sz w:val="20"/>
                <w:szCs w:val="20"/>
              </w:rPr>
              <w:t>Acompanhar e fazer gestão utilizando ferramentas digitais.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E552C8" w:rsidRPr="00E53E1E" w:rsidRDefault="00865CDC" w:rsidP="00865C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análise</w:t>
            </w:r>
          </w:p>
        </w:tc>
      </w:tr>
    </w:tbl>
    <w:p w:rsidR="005D64E7" w:rsidRPr="005D64E7" w:rsidRDefault="00B8469C" w:rsidP="00B8469C">
      <w:pPr>
        <w:pStyle w:val="Legenda"/>
        <w:rPr>
          <w:rFonts w:ascii="Cambria" w:eastAsia="Cambria" w:hAnsi="Cambria" w:cs="Cambria"/>
          <w:szCs w:val="24"/>
          <w:lang w:eastAsia="pt-BR"/>
        </w:rPr>
      </w:pPr>
      <w:bookmarkStart w:id="4" w:name="_Toc148704352"/>
      <w:r>
        <w:t xml:space="preserve">Tabela </w:t>
      </w:r>
      <w:fldSimple w:instr=" SEQ Tabela \* ARABIC ">
        <w:r w:rsidR="00E95EB0">
          <w:rPr>
            <w:noProof/>
          </w:rPr>
          <w:t>1</w:t>
        </w:r>
      </w:fldSimple>
      <w:r>
        <w:t xml:space="preserve"> - Status </w:t>
      </w:r>
      <w:r w:rsidR="00970DCA">
        <w:t xml:space="preserve">das Ações </w:t>
      </w:r>
      <w:r>
        <w:t>do Plano de Transformação Digital</w:t>
      </w:r>
      <w:bookmarkEnd w:id="4"/>
    </w:p>
    <w:p w:rsidR="005D64E7" w:rsidRPr="005D64E7" w:rsidRDefault="005D64E7" w:rsidP="005D64E7">
      <w:pPr>
        <w:spacing w:after="0" w:line="240" w:lineRule="auto"/>
        <w:ind w:firstLine="0"/>
        <w:jc w:val="center"/>
        <w:rPr>
          <w:rFonts w:ascii="Cambria" w:eastAsia="Cambria" w:hAnsi="Cambria" w:cs="Cambria"/>
          <w:szCs w:val="24"/>
          <w:lang w:eastAsia="pt-BR"/>
        </w:rPr>
      </w:pPr>
    </w:p>
    <w:p w:rsidR="005D64E7" w:rsidRPr="005D64E7" w:rsidRDefault="005D64E7" w:rsidP="005D64E7">
      <w:pPr>
        <w:spacing w:after="0" w:line="240" w:lineRule="auto"/>
        <w:ind w:firstLine="0"/>
        <w:jc w:val="center"/>
        <w:rPr>
          <w:rFonts w:ascii="Cambria" w:eastAsia="Cambria" w:hAnsi="Cambria" w:cs="Cambria"/>
          <w:szCs w:val="24"/>
          <w:lang w:eastAsia="pt-BR"/>
        </w:rPr>
      </w:pPr>
    </w:p>
    <w:p w:rsidR="005D64E7" w:rsidRPr="005D64E7" w:rsidRDefault="005D64E7" w:rsidP="005D64E7">
      <w:pPr>
        <w:spacing w:after="0" w:line="240" w:lineRule="auto"/>
        <w:ind w:firstLine="0"/>
        <w:jc w:val="center"/>
        <w:rPr>
          <w:rFonts w:ascii="Cambria" w:eastAsia="Cambria" w:hAnsi="Cambria" w:cs="Cambria"/>
          <w:szCs w:val="24"/>
          <w:lang w:eastAsia="pt-BR"/>
        </w:rPr>
        <w:sectPr w:rsidR="005D64E7" w:rsidRPr="005D64E7" w:rsidSect="00E53E1E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5"/>
      </w:tblGrid>
      <w:tr w:rsidR="005D64E7" w:rsidRPr="005D64E7" w:rsidTr="00985390">
        <w:tc>
          <w:tcPr>
            <w:tcW w:w="1696" w:type="dxa"/>
            <w:vAlign w:val="center"/>
          </w:tcPr>
          <w:p w:rsidR="005D64E7" w:rsidRPr="005D64E7" w:rsidRDefault="005D64E7" w:rsidP="005D64E7">
            <w:pPr>
              <w:spacing w:after="160"/>
              <w:ind w:firstLine="0"/>
              <w:jc w:val="center"/>
              <w:rPr>
                <w:sz w:val="2"/>
              </w:rPr>
            </w:pPr>
          </w:p>
        </w:tc>
        <w:tc>
          <w:tcPr>
            <w:tcW w:w="7365" w:type="dxa"/>
            <w:vAlign w:val="center"/>
          </w:tcPr>
          <w:p w:rsidR="005D64E7" w:rsidRPr="005D64E7" w:rsidRDefault="005D64E7" w:rsidP="005D64E7">
            <w:pPr>
              <w:spacing w:after="160"/>
              <w:ind w:firstLine="0"/>
            </w:pPr>
          </w:p>
        </w:tc>
      </w:tr>
    </w:tbl>
    <w:p w:rsidR="005D64E7" w:rsidRPr="005D64E7" w:rsidRDefault="005D64E7" w:rsidP="005D64E7">
      <w:pPr>
        <w:spacing w:after="160"/>
        <w:ind w:firstLine="0"/>
        <w:jc w:val="center"/>
        <w:rPr>
          <w:rFonts w:ascii="Calibri" w:eastAsia="Cambria" w:hAnsi="Calibri" w:cs="Times New Roman"/>
        </w:rPr>
      </w:pPr>
      <w:r w:rsidRPr="005D64E7">
        <w:rPr>
          <w:rFonts w:ascii="Cambria" w:eastAsia="Cambria" w:hAnsi="Cambria" w:cs="Cambria"/>
          <w:noProof/>
          <w:szCs w:val="24"/>
          <w:lang w:eastAsia="pt-BR"/>
        </w:rPr>
        <w:drawing>
          <wp:inline distT="0" distB="0" distL="0" distR="0" wp14:anchorId="146B2B4D" wp14:editId="6E68F59F">
            <wp:extent cx="2238375" cy="641350"/>
            <wp:effectExtent l="0" t="0" r="9525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E7" w:rsidRPr="005D64E7" w:rsidRDefault="005D64E7" w:rsidP="005D64E7">
      <w:pPr>
        <w:spacing w:after="160"/>
        <w:ind w:firstLine="0"/>
        <w:rPr>
          <w:rFonts w:ascii="Cambria" w:eastAsia="Cambria" w:hAnsi="Cambria" w:cs="Cambria"/>
          <w:szCs w:val="24"/>
          <w:lang w:eastAsia="pt-BR"/>
        </w:rPr>
      </w:pPr>
    </w:p>
    <w:p w:rsidR="005D64E7" w:rsidRPr="005D64E7" w:rsidRDefault="005D64E7" w:rsidP="005D64E7">
      <w:pPr>
        <w:spacing w:after="160"/>
        <w:ind w:firstLine="0"/>
        <w:rPr>
          <w:rFonts w:ascii="Cambria" w:eastAsia="Cambria" w:hAnsi="Cambria" w:cs="Cambria"/>
          <w:szCs w:val="24"/>
          <w:lang w:eastAsia="pt-BR"/>
        </w:rPr>
      </w:pPr>
    </w:p>
    <w:p w:rsidR="005D64E7" w:rsidRPr="005D64E7" w:rsidRDefault="005D64E7" w:rsidP="005D64E7">
      <w:pPr>
        <w:spacing w:after="160"/>
        <w:ind w:firstLine="0"/>
        <w:rPr>
          <w:rFonts w:ascii="Cambria" w:eastAsia="Cambria" w:hAnsi="Cambria" w:cs="Cambria"/>
          <w:szCs w:val="24"/>
          <w:lang w:eastAsia="pt-BR"/>
        </w:rPr>
      </w:pPr>
    </w:p>
    <w:p w:rsidR="005D64E7" w:rsidRPr="005D64E7" w:rsidRDefault="005D64E7" w:rsidP="005D64E7">
      <w:pPr>
        <w:spacing w:after="160"/>
        <w:ind w:firstLine="0"/>
        <w:rPr>
          <w:rFonts w:ascii="Cambria" w:eastAsia="Cambria" w:hAnsi="Cambria" w:cs="Cambria"/>
          <w:szCs w:val="24"/>
          <w:lang w:eastAsia="pt-BR"/>
        </w:rPr>
      </w:pPr>
    </w:p>
    <w:p w:rsidR="005D64E7" w:rsidRPr="005D64E7" w:rsidRDefault="005D64E7" w:rsidP="005D64E7">
      <w:pPr>
        <w:spacing w:after="160"/>
        <w:ind w:firstLine="0"/>
        <w:rPr>
          <w:rFonts w:ascii="Cambria" w:eastAsia="Cambria" w:hAnsi="Cambria" w:cs="Cambria"/>
          <w:szCs w:val="24"/>
          <w:lang w:eastAsia="pt-BR"/>
        </w:rPr>
      </w:pPr>
    </w:p>
    <w:p w:rsidR="005D64E7" w:rsidRPr="005D64E7" w:rsidRDefault="005D64E7" w:rsidP="005D64E7">
      <w:pPr>
        <w:spacing w:after="160"/>
        <w:ind w:firstLine="0"/>
        <w:rPr>
          <w:rFonts w:ascii="Cambria" w:eastAsia="Cambria" w:hAnsi="Cambria" w:cs="Cambria"/>
          <w:szCs w:val="24"/>
          <w:lang w:eastAsia="pt-BR"/>
        </w:rPr>
      </w:pPr>
    </w:p>
    <w:p w:rsidR="005D64E7" w:rsidRPr="005D64E7" w:rsidRDefault="005D64E7" w:rsidP="005D64E7">
      <w:pPr>
        <w:tabs>
          <w:tab w:val="center" w:pos="4252"/>
          <w:tab w:val="right" w:pos="8504"/>
        </w:tabs>
        <w:spacing w:after="0" w:line="240" w:lineRule="auto"/>
        <w:ind w:left="425" w:firstLine="0"/>
        <w:jc w:val="center"/>
        <w:rPr>
          <w:rFonts w:ascii="Cambria" w:eastAsia="Cambria" w:hAnsi="Cambria" w:cs="Cambria"/>
          <w:color w:val="FFC000"/>
          <w:szCs w:val="24"/>
          <w:lang w:eastAsia="pt-BR"/>
        </w:rPr>
      </w:pPr>
      <w:r w:rsidRPr="005D64E7">
        <w:rPr>
          <w:rFonts w:ascii="Cambria" w:eastAsia="Cambria" w:hAnsi="Cambria" w:cs="Cambria"/>
          <w:color w:val="FFC000"/>
          <w:szCs w:val="24"/>
          <w:lang w:eastAsia="pt-BR"/>
        </w:rPr>
        <w:t>PODER JUDICIÁRIO DO ESTADO DO ACRE</w:t>
      </w:r>
    </w:p>
    <w:p w:rsidR="005D64E7" w:rsidRPr="005D64E7" w:rsidRDefault="005D64E7" w:rsidP="005D64E7">
      <w:pPr>
        <w:tabs>
          <w:tab w:val="center" w:pos="4252"/>
          <w:tab w:val="right" w:pos="8504"/>
        </w:tabs>
        <w:spacing w:after="0" w:line="240" w:lineRule="auto"/>
        <w:ind w:left="425" w:firstLine="0"/>
        <w:jc w:val="center"/>
        <w:rPr>
          <w:rFonts w:ascii="Cambria" w:eastAsia="Cambria" w:hAnsi="Cambria" w:cs="Cambria"/>
          <w:b/>
          <w:szCs w:val="24"/>
          <w:lang w:eastAsia="pt-BR"/>
        </w:rPr>
      </w:pPr>
      <w:r w:rsidRPr="005D64E7">
        <w:rPr>
          <w:rFonts w:ascii="Cambria" w:eastAsia="Cambria" w:hAnsi="Cambria" w:cs="Cambria"/>
          <w:b/>
          <w:szCs w:val="24"/>
          <w:lang w:eastAsia="pt-BR"/>
        </w:rPr>
        <w:t>TRIBUNAL DE JUSTIÇA</w:t>
      </w:r>
    </w:p>
    <w:p w:rsidR="005D64E7" w:rsidRPr="005D64E7" w:rsidRDefault="005D64E7" w:rsidP="005D64E7">
      <w:pPr>
        <w:tabs>
          <w:tab w:val="center" w:pos="4252"/>
          <w:tab w:val="right" w:pos="8504"/>
        </w:tabs>
        <w:spacing w:after="0" w:line="240" w:lineRule="auto"/>
        <w:ind w:left="425" w:firstLine="0"/>
        <w:jc w:val="center"/>
        <w:rPr>
          <w:rFonts w:ascii="Cambria" w:eastAsia="Cambria" w:hAnsi="Cambria" w:cs="Cambria"/>
          <w:b/>
          <w:szCs w:val="24"/>
          <w:lang w:eastAsia="pt-BR"/>
        </w:rPr>
      </w:pPr>
      <w:r w:rsidRPr="005D64E7">
        <w:rPr>
          <w:rFonts w:ascii="Cambria" w:eastAsia="Cambria" w:hAnsi="Cambria" w:cs="Cambria"/>
          <w:b/>
          <w:szCs w:val="24"/>
          <w:lang w:eastAsia="pt-BR"/>
        </w:rPr>
        <w:t>Diretoria de Tecnologia da Informação</w:t>
      </w:r>
    </w:p>
    <w:p w:rsidR="005D64E7" w:rsidRPr="005D64E7" w:rsidRDefault="005D64E7" w:rsidP="005D64E7">
      <w:pPr>
        <w:spacing w:before="480" w:after="60" w:line="240" w:lineRule="auto"/>
        <w:ind w:left="144" w:right="144" w:firstLine="0"/>
        <w:rPr>
          <w:rFonts w:ascii="Calibri" w:eastAsia="Calibri" w:hAnsi="Calibri" w:cs="Times New Roman"/>
          <w:color w:val="595959"/>
          <w:kern w:val="20"/>
          <w:sz w:val="20"/>
          <w:szCs w:val="20"/>
        </w:rPr>
      </w:pPr>
    </w:p>
    <w:p w:rsidR="005D64E7" w:rsidRPr="005D64E7" w:rsidRDefault="005D64E7" w:rsidP="005D64E7">
      <w:pPr>
        <w:spacing w:before="480" w:after="60" w:line="240" w:lineRule="auto"/>
        <w:ind w:left="144" w:right="144" w:firstLine="0"/>
        <w:rPr>
          <w:rFonts w:ascii="Calibri" w:eastAsia="Calibri" w:hAnsi="Calibri" w:cs="Times New Roman"/>
          <w:color w:val="595959"/>
          <w:kern w:val="20"/>
          <w:sz w:val="20"/>
          <w:szCs w:val="20"/>
        </w:rPr>
      </w:pPr>
    </w:p>
    <w:p w:rsidR="005D64E7" w:rsidRPr="005D64E7" w:rsidRDefault="005D64E7" w:rsidP="005D64E7">
      <w:pPr>
        <w:spacing w:before="480" w:after="60" w:line="240" w:lineRule="auto"/>
        <w:ind w:left="144" w:right="144" w:firstLine="0"/>
        <w:rPr>
          <w:rFonts w:ascii="Calibri" w:eastAsia="Calibri" w:hAnsi="Calibri" w:cs="Times New Roman"/>
          <w:color w:val="595959"/>
          <w:kern w:val="20"/>
          <w:sz w:val="20"/>
          <w:szCs w:val="20"/>
        </w:rPr>
      </w:pPr>
    </w:p>
    <w:p w:rsidR="005D64E7" w:rsidRPr="005D64E7" w:rsidRDefault="005D64E7" w:rsidP="005D64E7">
      <w:pPr>
        <w:spacing w:before="480" w:after="60" w:line="240" w:lineRule="auto"/>
        <w:ind w:left="144" w:right="144" w:firstLine="0"/>
        <w:rPr>
          <w:rFonts w:ascii="Calibri" w:eastAsia="Calibri" w:hAnsi="Calibri" w:cs="Times New Roman"/>
          <w:color w:val="595959"/>
          <w:kern w:val="20"/>
          <w:sz w:val="20"/>
          <w:szCs w:val="20"/>
        </w:rPr>
      </w:pPr>
    </w:p>
    <w:p w:rsidR="005D64E7" w:rsidRPr="005D64E7" w:rsidRDefault="005D64E7" w:rsidP="005D64E7">
      <w:pPr>
        <w:spacing w:before="480" w:after="60" w:line="240" w:lineRule="auto"/>
        <w:ind w:left="144" w:right="144" w:firstLine="0"/>
        <w:rPr>
          <w:rFonts w:ascii="Calibri" w:eastAsia="Calibri" w:hAnsi="Calibri" w:cs="Times New Roman"/>
          <w:color w:val="595959"/>
          <w:kern w:val="20"/>
          <w:sz w:val="20"/>
          <w:szCs w:val="20"/>
        </w:rPr>
      </w:pPr>
    </w:p>
    <w:p w:rsidR="005D64E7" w:rsidRPr="005D64E7" w:rsidRDefault="005D64E7" w:rsidP="005D64E7">
      <w:pPr>
        <w:spacing w:before="480" w:after="60" w:line="240" w:lineRule="auto"/>
        <w:ind w:left="144" w:right="144" w:firstLine="0"/>
        <w:rPr>
          <w:rFonts w:ascii="Calibri" w:eastAsia="Calibri" w:hAnsi="Calibri" w:cs="Times New Roman"/>
          <w:color w:val="595959"/>
          <w:kern w:val="20"/>
          <w:sz w:val="20"/>
          <w:szCs w:val="20"/>
        </w:rPr>
      </w:pPr>
    </w:p>
    <w:p w:rsidR="005D64E7" w:rsidRPr="005D64E7" w:rsidRDefault="005D64E7" w:rsidP="005D64E7">
      <w:pPr>
        <w:spacing w:before="480" w:after="60" w:line="240" w:lineRule="auto"/>
        <w:ind w:left="144" w:right="144" w:firstLine="0"/>
        <w:rPr>
          <w:rFonts w:ascii="Calibri" w:eastAsia="Calibri" w:hAnsi="Calibri" w:cs="Times New Roman"/>
          <w:color w:val="595959"/>
          <w:kern w:val="20"/>
          <w:sz w:val="20"/>
          <w:szCs w:val="20"/>
        </w:rPr>
      </w:pPr>
    </w:p>
    <w:p w:rsidR="005D64E7" w:rsidRPr="005D64E7" w:rsidRDefault="005D64E7" w:rsidP="005D64E7">
      <w:pPr>
        <w:spacing w:before="480" w:after="60" w:line="240" w:lineRule="auto"/>
        <w:ind w:left="144" w:right="144" w:firstLine="0"/>
        <w:rPr>
          <w:rFonts w:ascii="Calibri" w:eastAsia="Calibri" w:hAnsi="Calibri" w:cs="Times New Roman"/>
          <w:color w:val="595959"/>
          <w:kern w:val="20"/>
          <w:sz w:val="20"/>
          <w:szCs w:val="20"/>
        </w:rPr>
      </w:pPr>
    </w:p>
    <w:p w:rsidR="005D64E7" w:rsidRDefault="005D64E7" w:rsidP="005D64E7">
      <w:pPr>
        <w:tabs>
          <w:tab w:val="center" w:pos="4252"/>
          <w:tab w:val="right" w:pos="8504"/>
        </w:tabs>
        <w:spacing w:after="0" w:line="240" w:lineRule="auto"/>
        <w:ind w:left="425" w:firstLine="0"/>
        <w:jc w:val="center"/>
        <w:rPr>
          <w:rFonts w:ascii="Cambria" w:eastAsia="Cambria" w:hAnsi="Cambria" w:cs="Cambria"/>
          <w:szCs w:val="24"/>
          <w:lang w:eastAsia="pt-BR"/>
        </w:rPr>
      </w:pPr>
    </w:p>
    <w:p w:rsidR="005D64E7" w:rsidRPr="005D64E7" w:rsidRDefault="00FB4164" w:rsidP="005D64E7">
      <w:pPr>
        <w:tabs>
          <w:tab w:val="center" w:pos="4252"/>
          <w:tab w:val="right" w:pos="8504"/>
        </w:tabs>
        <w:spacing w:after="0" w:line="240" w:lineRule="auto"/>
        <w:ind w:left="425" w:firstLine="0"/>
        <w:jc w:val="center"/>
        <w:rPr>
          <w:rFonts w:ascii="Cambria" w:eastAsia="Cambria" w:hAnsi="Cambria" w:cs="Cambria"/>
          <w:color w:val="FFC000"/>
          <w:szCs w:val="24"/>
          <w:lang w:eastAsia="pt-BR"/>
        </w:rPr>
      </w:pPr>
      <w:hyperlink r:id="rId11" w:history="1">
        <w:r w:rsidR="005D64E7" w:rsidRPr="005D64E7">
          <w:rPr>
            <w:rFonts w:ascii="Cambria" w:eastAsia="Cambria" w:hAnsi="Cambria" w:cs="Cambria"/>
            <w:color w:val="FFC000"/>
            <w:szCs w:val="24"/>
            <w:u w:val="single"/>
            <w:lang w:eastAsia="pt-BR"/>
          </w:rPr>
          <w:t>www.tjac.jus.br</w:t>
        </w:r>
      </w:hyperlink>
    </w:p>
    <w:p w:rsidR="005D64E7" w:rsidRPr="005D64E7" w:rsidRDefault="005D64E7" w:rsidP="005D64E7">
      <w:pPr>
        <w:spacing w:after="0" w:line="240" w:lineRule="auto"/>
        <w:ind w:left="144" w:right="144" w:firstLine="0"/>
        <w:jc w:val="center"/>
        <w:rPr>
          <w:rFonts w:ascii="Cambria" w:eastAsia="Calibri" w:hAnsi="Cambria" w:cs="Times New Roman"/>
          <w:kern w:val="20"/>
          <w:sz w:val="20"/>
          <w:szCs w:val="20"/>
        </w:rPr>
      </w:pPr>
      <w:r w:rsidRPr="005D64E7">
        <w:rPr>
          <w:rFonts w:ascii="Cambria" w:eastAsia="Calibri" w:hAnsi="Cambria" w:cs="Times New Roman"/>
          <w:kern w:val="20"/>
          <w:sz w:val="20"/>
          <w:szCs w:val="20"/>
        </w:rPr>
        <w:t>Rua Tribunal de Justiça, s/n. Via Verde. 69.920-193</w:t>
      </w:r>
    </w:p>
    <w:p w:rsidR="005D64E7" w:rsidRPr="005D64E7" w:rsidRDefault="005D64E7" w:rsidP="005D64E7">
      <w:pPr>
        <w:spacing w:after="0" w:line="240" w:lineRule="auto"/>
        <w:ind w:left="144" w:right="144" w:firstLine="0"/>
        <w:jc w:val="center"/>
        <w:rPr>
          <w:rFonts w:ascii="Calibri" w:eastAsia="Calibri" w:hAnsi="Calibri" w:cs="Times New Roman"/>
          <w:color w:val="595959"/>
          <w:kern w:val="20"/>
          <w:sz w:val="20"/>
          <w:szCs w:val="20"/>
        </w:rPr>
      </w:pPr>
      <w:r w:rsidRPr="005D64E7">
        <w:rPr>
          <w:rFonts w:ascii="Cambria" w:eastAsia="Calibri" w:hAnsi="Cambria" w:cs="Times New Roman"/>
          <w:kern w:val="20"/>
          <w:sz w:val="20"/>
          <w:szCs w:val="20"/>
        </w:rPr>
        <w:t>Rio Branco-AC | (68) 3302-0360 / 3302-0361</w:t>
      </w:r>
    </w:p>
    <w:sectPr w:rsidR="005D64E7" w:rsidRPr="005D64E7" w:rsidSect="00FA2CB2"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64" w:rsidRDefault="00FB4164" w:rsidP="00FC5811">
      <w:pPr>
        <w:spacing w:after="0" w:line="240" w:lineRule="auto"/>
      </w:pPr>
      <w:r>
        <w:separator/>
      </w:r>
    </w:p>
  </w:endnote>
  <w:endnote w:type="continuationSeparator" w:id="0">
    <w:p w:rsidR="00FB4164" w:rsidRDefault="00FB4164" w:rsidP="00FC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E70" w:rsidRDefault="002A5E70" w:rsidP="002A5E70">
    <w:pPr>
      <w:pStyle w:val="Rodap"/>
      <w:pBdr>
        <w:top w:val="single" w:sz="4" w:space="1" w:color="auto"/>
      </w:pBdr>
      <w:jc w:val="right"/>
    </w:pPr>
    <w:proofErr w:type="gramStart"/>
    <w:r w:rsidRPr="005D64E7">
      <w:rPr>
        <w:color w:val="0F6FC6"/>
        <w:sz w:val="20"/>
        <w:szCs w:val="20"/>
      </w:rPr>
      <w:t>pág</w:t>
    </w:r>
    <w:proofErr w:type="gramEnd"/>
    <w:r w:rsidRPr="005D64E7">
      <w:rPr>
        <w:color w:val="0F6FC6"/>
        <w:sz w:val="20"/>
        <w:szCs w:val="20"/>
      </w:rPr>
      <w:t xml:space="preserve">. </w:t>
    </w:r>
    <w:r w:rsidRPr="005D64E7">
      <w:rPr>
        <w:color w:val="0F6FC6"/>
        <w:sz w:val="20"/>
        <w:szCs w:val="20"/>
      </w:rPr>
      <w:fldChar w:fldCharType="begin"/>
    </w:r>
    <w:r w:rsidRPr="005D64E7">
      <w:rPr>
        <w:color w:val="0F6FC6"/>
        <w:sz w:val="20"/>
        <w:szCs w:val="20"/>
      </w:rPr>
      <w:instrText>PAGE  \* Arabic</w:instrText>
    </w:r>
    <w:r w:rsidRPr="005D64E7">
      <w:rPr>
        <w:color w:val="0F6FC6"/>
        <w:sz w:val="20"/>
        <w:szCs w:val="20"/>
      </w:rPr>
      <w:fldChar w:fldCharType="separate"/>
    </w:r>
    <w:r w:rsidR="00E95EB0">
      <w:rPr>
        <w:noProof/>
        <w:color w:val="0F6FC6"/>
        <w:sz w:val="20"/>
        <w:szCs w:val="20"/>
      </w:rPr>
      <w:t>9</w:t>
    </w:r>
    <w:r w:rsidRPr="005D64E7">
      <w:rPr>
        <w:color w:val="0F6FC6"/>
        <w:sz w:val="20"/>
        <w:szCs w:val="20"/>
      </w:rPr>
      <w:fldChar w:fldCharType="end"/>
    </w:r>
  </w:p>
  <w:p w:rsidR="00FC5811" w:rsidRDefault="00FC5811" w:rsidP="002A5E70">
    <w:pPr>
      <w:pStyle w:val="Rodap"/>
      <w:pBdr>
        <w:top w:val="single" w:sz="4" w:space="1" w:color="auto"/>
      </w:pBdr>
    </w:pPr>
  </w:p>
  <w:p w:rsidR="00953D92" w:rsidRDefault="00953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64" w:rsidRDefault="00FB4164" w:rsidP="00FC5811">
      <w:pPr>
        <w:spacing w:after="0" w:line="240" w:lineRule="auto"/>
      </w:pPr>
      <w:r>
        <w:separator/>
      </w:r>
    </w:p>
  </w:footnote>
  <w:footnote w:type="continuationSeparator" w:id="0">
    <w:p w:rsidR="00FB4164" w:rsidRDefault="00FB4164" w:rsidP="00FC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4"/>
      <w:gridCol w:w="996"/>
      <w:gridCol w:w="3537"/>
    </w:tblGrid>
    <w:tr w:rsidR="0051541B" w:rsidRPr="0051541B" w:rsidTr="00985390">
      <w:trPr>
        <w:trHeight w:val="572"/>
      </w:trPr>
      <w:tc>
        <w:tcPr>
          <w:tcW w:w="4534" w:type="dxa"/>
          <w:tcBorders>
            <w:right w:val="single" w:sz="18" w:space="0" w:color="A6A6A6"/>
          </w:tcBorders>
          <w:vAlign w:val="center"/>
        </w:tcPr>
        <w:p w:rsidR="0051541B" w:rsidRPr="0051541B" w:rsidRDefault="00F02A00" w:rsidP="00F02A00">
          <w:pPr>
            <w:spacing w:after="0" w:line="240" w:lineRule="auto"/>
            <w:ind w:firstLine="0"/>
            <w:rPr>
              <w:rFonts w:ascii="Cambria" w:eastAsia="Cambria" w:hAnsi="Cambria" w:cs="Cambria"/>
              <w:b/>
              <w:sz w:val="16"/>
              <w:szCs w:val="16"/>
              <w:lang w:eastAsia="pt-BR"/>
            </w:rPr>
          </w:pPr>
          <w:r>
            <w:rPr>
              <w:rFonts w:ascii="Cambria" w:eastAsia="Cambria" w:hAnsi="Cambria" w:cs="Cambria"/>
              <w:b/>
              <w:sz w:val="16"/>
              <w:szCs w:val="16"/>
              <w:lang w:eastAsia="pt-BR"/>
            </w:rPr>
            <w:t>RELATÓRIO DO PLANO DE TRANSFORMAÇÃO DIGITAL</w:t>
          </w:r>
        </w:p>
      </w:tc>
      <w:tc>
        <w:tcPr>
          <w:tcW w:w="996" w:type="dxa"/>
          <w:tcBorders>
            <w:left w:val="single" w:sz="18" w:space="0" w:color="A6A6A6"/>
          </w:tcBorders>
          <w:vAlign w:val="center"/>
        </w:tcPr>
        <w:p w:rsidR="0051541B" w:rsidRPr="0051541B" w:rsidRDefault="0051541B" w:rsidP="0051541B">
          <w:pPr>
            <w:spacing w:after="0" w:line="240" w:lineRule="auto"/>
            <w:ind w:firstLine="0"/>
            <w:rPr>
              <w:rFonts w:ascii="Cambria" w:eastAsia="Cambria" w:hAnsi="Cambria" w:cs="Cambria"/>
              <w:sz w:val="2"/>
              <w:szCs w:val="2"/>
              <w:lang w:eastAsia="pt-BR"/>
            </w:rPr>
          </w:pPr>
          <w:r w:rsidRPr="0051541B">
            <w:rPr>
              <w:rFonts w:ascii="Cambria" w:eastAsia="Cambria" w:hAnsi="Cambria" w:cs="Cambria"/>
              <w:noProof/>
              <w:szCs w:val="24"/>
              <w:lang w:eastAsia="pt-BR"/>
            </w:rPr>
            <w:drawing>
              <wp:inline distT="0" distB="0" distL="0" distR="0" wp14:anchorId="1D25A048" wp14:editId="47829CA8">
                <wp:extent cx="489585" cy="478790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478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7" w:type="dxa"/>
          <w:vAlign w:val="center"/>
        </w:tcPr>
        <w:p w:rsidR="0051541B" w:rsidRPr="0051541B" w:rsidRDefault="0051541B" w:rsidP="0051541B">
          <w:pPr>
            <w:spacing w:after="0" w:line="240" w:lineRule="auto"/>
            <w:ind w:firstLine="0"/>
            <w:rPr>
              <w:rFonts w:ascii="Cambria" w:eastAsia="Cambria" w:hAnsi="Cambria" w:cs="Cambria"/>
              <w:sz w:val="16"/>
              <w:szCs w:val="16"/>
              <w:lang w:eastAsia="pt-BR"/>
            </w:rPr>
          </w:pPr>
          <w:r w:rsidRPr="0051541B">
            <w:rPr>
              <w:rFonts w:ascii="Cambria" w:eastAsia="Cambria" w:hAnsi="Cambria" w:cs="Cambria"/>
              <w:sz w:val="16"/>
              <w:szCs w:val="16"/>
              <w:lang w:eastAsia="pt-BR"/>
            </w:rPr>
            <w:t>PODER JUDICIÁRIO DO ESTADO DO ACRE</w:t>
          </w:r>
        </w:p>
        <w:p w:rsidR="0051541B" w:rsidRPr="0051541B" w:rsidRDefault="0051541B" w:rsidP="0051541B">
          <w:pPr>
            <w:spacing w:after="0" w:line="240" w:lineRule="auto"/>
            <w:ind w:firstLine="0"/>
            <w:rPr>
              <w:rFonts w:ascii="Cambria" w:eastAsia="Cambria" w:hAnsi="Cambria" w:cs="Cambria"/>
              <w:b/>
              <w:sz w:val="14"/>
              <w:szCs w:val="14"/>
              <w:lang w:eastAsia="pt-BR"/>
            </w:rPr>
          </w:pPr>
          <w:r w:rsidRPr="0051541B">
            <w:rPr>
              <w:rFonts w:ascii="Cambria" w:eastAsia="Cambria" w:hAnsi="Cambria" w:cs="Cambria"/>
              <w:b/>
              <w:sz w:val="16"/>
              <w:szCs w:val="16"/>
              <w:lang w:eastAsia="pt-BR"/>
            </w:rPr>
            <w:t>TRIBUNAL DE JUSTIÇA</w:t>
          </w:r>
        </w:p>
      </w:tc>
    </w:tr>
  </w:tbl>
  <w:p w:rsidR="00FC5811" w:rsidRPr="0051541B" w:rsidRDefault="00FC5811" w:rsidP="0051541B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074BC"/>
    <w:multiLevelType w:val="multilevel"/>
    <w:tmpl w:val="8146D83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6"/>
    <w:rsid w:val="0008373C"/>
    <w:rsid w:val="001664D6"/>
    <w:rsid w:val="001721E7"/>
    <w:rsid w:val="00227732"/>
    <w:rsid w:val="002A5E70"/>
    <w:rsid w:val="00301BE4"/>
    <w:rsid w:val="00304049"/>
    <w:rsid w:val="00330E60"/>
    <w:rsid w:val="00353A73"/>
    <w:rsid w:val="003821A9"/>
    <w:rsid w:val="00495221"/>
    <w:rsid w:val="004C131B"/>
    <w:rsid w:val="0051541B"/>
    <w:rsid w:val="005D64E7"/>
    <w:rsid w:val="005F12C8"/>
    <w:rsid w:val="0065344A"/>
    <w:rsid w:val="00661CB6"/>
    <w:rsid w:val="00756E26"/>
    <w:rsid w:val="00790C64"/>
    <w:rsid w:val="00865CDC"/>
    <w:rsid w:val="00953D92"/>
    <w:rsid w:val="00970DCA"/>
    <w:rsid w:val="00B40F3E"/>
    <w:rsid w:val="00B8469C"/>
    <w:rsid w:val="00C7485A"/>
    <w:rsid w:val="00D57D08"/>
    <w:rsid w:val="00E10762"/>
    <w:rsid w:val="00E53E1E"/>
    <w:rsid w:val="00E552C8"/>
    <w:rsid w:val="00E57422"/>
    <w:rsid w:val="00E74C30"/>
    <w:rsid w:val="00E95EB0"/>
    <w:rsid w:val="00F02A00"/>
    <w:rsid w:val="00FA2CB2"/>
    <w:rsid w:val="00FB4164"/>
    <w:rsid w:val="00FC5811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E083F-4D29-45B9-9AD6-0D393248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1E"/>
    <w:pPr>
      <w:spacing w:after="120" w:line="360" w:lineRule="auto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57D08"/>
    <w:pPr>
      <w:keepNext/>
      <w:keepLines/>
      <w:numPr>
        <w:numId w:val="1"/>
      </w:numPr>
      <w:spacing w:before="240" w:after="240"/>
      <w:ind w:left="357" w:hanging="357"/>
      <w:outlineLvl w:val="0"/>
    </w:pPr>
    <w:rPr>
      <w:rFonts w:asciiTheme="majorHAnsi" w:eastAsiaTheme="majorEastAsia" w:hAnsiTheme="majorHAnsi" w:cstheme="majorBidi"/>
      <w:b/>
      <w:caps/>
      <w:color w:val="2E74B5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27732"/>
    <w:pPr>
      <w:numPr>
        <w:ilvl w:val="1"/>
      </w:numPr>
      <w:spacing w:before="160" w:after="160"/>
      <w:ind w:left="425" w:hanging="431"/>
      <w:outlineLvl w:val="1"/>
    </w:pPr>
    <w:rPr>
      <w:b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B40F3E"/>
    <w:pPr>
      <w:numPr>
        <w:ilvl w:val="2"/>
      </w:numPr>
      <w:tabs>
        <w:tab w:val="left" w:pos="993"/>
      </w:tabs>
      <w:ind w:left="567"/>
      <w:outlineLvl w:val="2"/>
    </w:pPr>
    <w:rPr>
      <w:b/>
      <w:caps w:val="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3E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7D08"/>
    <w:rPr>
      <w:rFonts w:asciiTheme="majorHAnsi" w:eastAsiaTheme="majorEastAsia" w:hAnsiTheme="majorHAnsi" w:cstheme="majorBidi"/>
      <w:b/>
      <w:caps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1664D6"/>
    <w:pPr>
      <w:numPr>
        <w:numId w:val="0"/>
      </w:numPr>
      <w:ind w:left="360" w:hanging="360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64D6"/>
    <w:pPr>
      <w:spacing w:after="100"/>
    </w:pPr>
  </w:style>
  <w:style w:type="character" w:styleId="Hyperlink">
    <w:name w:val="Hyperlink"/>
    <w:basedOn w:val="Fontepargpadro"/>
    <w:uiPriority w:val="99"/>
    <w:unhideWhenUsed/>
    <w:rsid w:val="001664D6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27732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E10762"/>
    <w:pPr>
      <w:spacing w:after="100"/>
      <w:ind w:left="240"/>
    </w:pPr>
  </w:style>
  <w:style w:type="paragraph" w:styleId="Cabealho">
    <w:name w:val="header"/>
    <w:basedOn w:val="Normal"/>
    <w:link w:val="CabealhoChar"/>
    <w:uiPriority w:val="99"/>
    <w:unhideWhenUsed/>
    <w:rsid w:val="00FC5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811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FC5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811"/>
    <w:rPr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B40F3E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5D64E7"/>
    <w:pPr>
      <w:spacing w:after="0" w:line="240" w:lineRule="auto"/>
      <w:jc w:val="both"/>
    </w:pPr>
    <w:rPr>
      <w:rFonts w:ascii="Cambria" w:eastAsia="Cambria" w:hAnsi="Cambria" w:cs="Cambria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52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2268" w:right="864" w:firstLine="0"/>
    </w:pPr>
    <w:rPr>
      <w:iCs/>
      <w:color w:val="5B9BD5" w:themeColor="accent1"/>
      <w:sz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5221"/>
    <w:rPr>
      <w:iCs/>
      <w:color w:val="5B9BD5" w:themeColor="accent1"/>
    </w:rPr>
  </w:style>
  <w:style w:type="paragraph" w:styleId="Citao">
    <w:name w:val="Quote"/>
    <w:basedOn w:val="Normal"/>
    <w:next w:val="Normal"/>
    <w:link w:val="CitaoChar"/>
    <w:uiPriority w:val="29"/>
    <w:qFormat/>
    <w:rsid w:val="00495221"/>
    <w:pPr>
      <w:spacing w:before="240" w:after="240" w:line="240" w:lineRule="auto"/>
      <w:ind w:left="2268" w:right="864" w:firstLine="0"/>
    </w:pPr>
    <w:rPr>
      <w:iCs/>
      <w:color w:val="404040" w:themeColor="text1" w:themeTint="BF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495221"/>
    <w:rPr>
      <w:iCs/>
      <w:color w:val="404040" w:themeColor="text1" w:themeTint="BF"/>
    </w:rPr>
  </w:style>
  <w:style w:type="paragraph" w:styleId="Sumrio3">
    <w:name w:val="toc 3"/>
    <w:basedOn w:val="Normal"/>
    <w:next w:val="Normal"/>
    <w:autoRedefine/>
    <w:uiPriority w:val="39"/>
    <w:unhideWhenUsed/>
    <w:rsid w:val="00E53E1E"/>
    <w:pPr>
      <w:spacing w:after="100"/>
      <w:ind w:left="480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53E1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eladeGrade6Colorida-nfase11">
    <w:name w:val="Tabela de Grade 6 Colorida - Ênfase 11"/>
    <w:basedOn w:val="Tabelanormal"/>
    <w:next w:val="TabeladeGrade6Colorida-nfase1"/>
    <w:uiPriority w:val="51"/>
    <w:rsid w:val="00E53E1E"/>
    <w:pPr>
      <w:widowControl w:val="0"/>
      <w:spacing w:after="0" w:line="240" w:lineRule="auto"/>
    </w:pPr>
    <w:rPr>
      <w:rFonts w:ascii="Calibri" w:eastAsia="Calibri" w:hAnsi="Calibri" w:cs="Calibri"/>
      <w:color w:val="365F91"/>
      <w:lang w:val="pt-PT" w:eastAsia="pt-B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eladeGrade6Colorida-nfase1">
    <w:name w:val="Grid Table 6 Colorful Accent 1"/>
    <w:basedOn w:val="Tabelanormal"/>
    <w:uiPriority w:val="51"/>
    <w:rsid w:val="00E53E1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B846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B8469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jac.jus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4D15-0EBF-4D66-886B-72F317D2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1337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20</cp:revision>
  <cp:lastPrinted>2023-10-23T15:54:00Z</cp:lastPrinted>
  <dcterms:created xsi:type="dcterms:W3CDTF">2023-08-29T13:51:00Z</dcterms:created>
  <dcterms:modified xsi:type="dcterms:W3CDTF">2023-10-23T15:55:00Z</dcterms:modified>
</cp:coreProperties>
</file>