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B89" w:rsidRDefault="00D4578A">
      <w:pPr>
        <w:spacing w:before="208"/>
        <w:ind w:left="134"/>
      </w:pPr>
      <w:bookmarkStart w:id="0" w:name="_GoBack"/>
      <w:bookmarkEnd w:id="0"/>
      <w:r>
        <w:rPr>
          <w:rFonts w:ascii="Arial"/>
          <w:b/>
        </w:rPr>
        <w:t>PROCESSO:</w:t>
      </w:r>
      <w:r>
        <w:rPr>
          <w:rFonts w:ascii="Arial"/>
          <w:b/>
          <w:spacing w:val="25"/>
        </w:rPr>
        <w:t xml:space="preserve"> </w:t>
      </w:r>
      <w:r>
        <w:t>2025-</w:t>
      </w:r>
      <w:r>
        <w:rPr>
          <w:spacing w:val="-5"/>
        </w:rPr>
        <w:t>327</w:t>
      </w:r>
    </w:p>
    <w:p w:rsidR="00A94B89" w:rsidRDefault="00A94B89">
      <w:pPr>
        <w:pStyle w:val="Corpodetexto"/>
        <w:spacing w:before="34"/>
      </w:pPr>
    </w:p>
    <w:p w:rsidR="00A94B89" w:rsidRDefault="00D4578A">
      <w:pPr>
        <w:pStyle w:val="Ttulo"/>
        <w:rPr>
          <w:u w:val="none"/>
        </w:rPr>
      </w:pPr>
      <w:r>
        <w:t>Justificativa</w:t>
      </w:r>
      <w:r>
        <w:rPr>
          <w:spacing w:val="20"/>
          <w:u w:val="none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não</w:t>
      </w:r>
      <w:r>
        <w:rPr>
          <w:spacing w:val="21"/>
        </w:rPr>
        <w:t xml:space="preserve"> </w:t>
      </w:r>
      <w:r>
        <w:t>realiza</w:t>
      </w:r>
      <w:r>
        <w:rPr>
          <w:u w:val="none"/>
        </w:rPr>
        <w:t>ç</w:t>
      </w:r>
      <w:r>
        <w:t>ão</w:t>
      </w:r>
      <w:r>
        <w:rPr>
          <w:spacing w:val="21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Estudo</w:t>
      </w:r>
      <w:r>
        <w:rPr>
          <w:spacing w:val="21"/>
        </w:rPr>
        <w:t xml:space="preserve"> </w:t>
      </w:r>
      <w:r>
        <w:t>Técnico</w:t>
      </w:r>
      <w:r>
        <w:rPr>
          <w:spacing w:val="21"/>
        </w:rPr>
        <w:t xml:space="preserve"> </w:t>
      </w:r>
      <w:r>
        <w:t>Preliminar</w:t>
      </w:r>
      <w:r>
        <w:rPr>
          <w:spacing w:val="20"/>
          <w:u w:val="none"/>
        </w:rPr>
        <w:t xml:space="preserve"> </w:t>
      </w:r>
      <w:r>
        <w:rPr>
          <w:spacing w:val="-2"/>
          <w:u w:val="none"/>
        </w:rPr>
        <w:t>(</w:t>
      </w:r>
      <w:r>
        <w:rPr>
          <w:spacing w:val="-2"/>
        </w:rPr>
        <w:t>ETP</w:t>
      </w:r>
      <w:r>
        <w:rPr>
          <w:spacing w:val="-2"/>
          <w:u w:val="none"/>
        </w:rPr>
        <w:t>)</w:t>
      </w:r>
    </w:p>
    <w:p w:rsidR="00A94B89" w:rsidRDefault="00A94B89">
      <w:pPr>
        <w:pStyle w:val="Corpodetexto"/>
        <w:rPr>
          <w:rFonts w:ascii="Arial"/>
          <w:b/>
        </w:rPr>
      </w:pPr>
    </w:p>
    <w:p w:rsidR="00A94B89" w:rsidRDefault="00A94B89">
      <w:pPr>
        <w:pStyle w:val="Corpodetexto"/>
        <w:rPr>
          <w:rFonts w:ascii="Arial"/>
          <w:b/>
        </w:rPr>
      </w:pPr>
    </w:p>
    <w:p w:rsidR="00A94B89" w:rsidRDefault="00A94B89">
      <w:pPr>
        <w:pStyle w:val="Corpodetexto"/>
        <w:spacing w:before="68"/>
        <w:rPr>
          <w:rFonts w:ascii="Arial"/>
          <w:b/>
        </w:rPr>
      </w:pPr>
    </w:p>
    <w:p w:rsidR="00A94B89" w:rsidRDefault="00D4578A">
      <w:pPr>
        <w:pStyle w:val="Corpodetexto"/>
        <w:spacing w:line="340" w:lineRule="auto"/>
        <w:ind w:left="134" w:right="114"/>
        <w:jc w:val="both"/>
      </w:pPr>
      <w:r>
        <w:t xml:space="preserve">Nos termos do art. 18 da Instrução Normativa SEGES/ME nº 5/2017, o Estudo Técnico Preliminar </w:t>
      </w:r>
      <w:r>
        <w:t>(ETP) constitui documento destinado a demonstrar o interesse público na contratação, avaliar a viabilidade da solução e subsidiar a elaboração do Termo de Referência. Contudo, excepcionalmente, admite-se sua dispensa, especialmente em contratações de baixo</w:t>
      </w:r>
      <w:r>
        <w:t xml:space="preserve"> valor, de objeto padronizado ou cuja solução esteja previamente deﬁnida no planejamento institucional.</w:t>
      </w:r>
    </w:p>
    <w:p w:rsidR="00A94B89" w:rsidRDefault="00D4578A">
      <w:pPr>
        <w:spacing w:before="184" w:line="340" w:lineRule="auto"/>
        <w:ind w:left="134" w:right="113"/>
        <w:jc w:val="both"/>
      </w:pPr>
      <w:r>
        <w:t xml:space="preserve">No presente caso, trata-se da </w:t>
      </w:r>
      <w:r>
        <w:rPr>
          <w:rFonts w:ascii="Arial" w:hAnsi="Arial"/>
          <w:b/>
        </w:rPr>
        <w:t>contratação de empresa especializada para ministrar o 32º Curso sobre Contratações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Bens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Serviços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Tecnologia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Inf</w:t>
      </w:r>
      <w:r>
        <w:rPr>
          <w:rFonts w:ascii="Arial" w:hAnsi="Arial"/>
          <w:b/>
        </w:rPr>
        <w:t>ormação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Comunicação</w:t>
      </w:r>
      <w:r>
        <w:t>,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foco</w:t>
      </w:r>
      <w:r>
        <w:rPr>
          <w:spacing w:val="40"/>
        </w:rPr>
        <w:t xml:space="preserve"> </w:t>
      </w:r>
      <w:r>
        <w:t xml:space="preserve">nas diretrizes da </w:t>
      </w:r>
      <w:r>
        <w:rPr>
          <w:rFonts w:ascii="Arial" w:hAnsi="Arial"/>
          <w:b/>
        </w:rPr>
        <w:t>Instrução Normativa SGD/ME nº 94/2022</w:t>
      </w:r>
      <w:r>
        <w:t xml:space="preserve">, da </w:t>
      </w:r>
      <w:r>
        <w:rPr>
          <w:rFonts w:ascii="Arial" w:hAnsi="Arial"/>
          <w:b/>
        </w:rPr>
        <w:t>Resolução CNJ nº 468/2022</w:t>
      </w:r>
      <w:r>
        <w:t xml:space="preserve">, e da </w:t>
      </w:r>
      <w:r>
        <w:rPr>
          <w:rFonts w:ascii="Arial" w:hAnsi="Arial"/>
          <w:b/>
        </w:rPr>
        <w:t xml:space="preserve">Lei nº </w:t>
      </w:r>
      <w:r>
        <w:rPr>
          <w:rFonts w:ascii="Arial" w:hAnsi="Arial"/>
          <w:b/>
          <w:spacing w:val="-2"/>
        </w:rPr>
        <w:t>14.133/2021</w:t>
      </w:r>
      <w:r>
        <w:rPr>
          <w:spacing w:val="-2"/>
        </w:rPr>
        <w:t>.</w:t>
      </w:r>
    </w:p>
    <w:p w:rsidR="00A94B89" w:rsidRDefault="00D4578A">
      <w:pPr>
        <w:spacing w:before="183" w:line="340" w:lineRule="auto"/>
        <w:ind w:left="134" w:right="114"/>
        <w:jc w:val="both"/>
      </w:pPr>
      <w:r>
        <w:t xml:space="preserve">O curso será realizado </w:t>
      </w:r>
      <w:r>
        <w:rPr>
          <w:rFonts w:ascii="Arial" w:hAnsi="Arial"/>
          <w:b/>
        </w:rPr>
        <w:t>na modalidade presencial, no período de 21 a 25 de julho de 2025</w:t>
      </w:r>
      <w:r>
        <w:t xml:space="preserve">, das </w:t>
      </w:r>
      <w:r>
        <w:rPr>
          <w:rFonts w:ascii="Arial" w:hAnsi="Arial"/>
          <w:b/>
        </w:rPr>
        <w:t>13h às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18h</w:t>
      </w:r>
      <w:r>
        <w:t>, totalizando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24 (vinte e quatro) horas/aula</w:t>
      </w:r>
      <w:r>
        <w:t>. O conteúdo programático encontra-se previamente deﬁnido, atendendo às demandas recorrentes da Administração e alinhado às diretrizes de formação e desenvolvimento institucional.</w:t>
      </w:r>
    </w:p>
    <w:p w:rsidR="00A94B89" w:rsidRDefault="00D4578A">
      <w:pPr>
        <w:pStyle w:val="Corpodetexto"/>
        <w:spacing w:before="183" w:line="340" w:lineRule="auto"/>
        <w:ind w:left="134" w:right="112"/>
        <w:jc w:val="both"/>
      </w:pPr>
      <w:r>
        <w:t>A contratação insere-se no escop</w:t>
      </w:r>
      <w:r>
        <w:t xml:space="preserve">o de ações rotineiras de capacitação, previstas no Plano Anual de Capacitação (PAC), não envolvendo aquisição de bens nem a implementação de soluções de natureza complexa ou tecnológica que exijam aprofundada análise técnica. Ademais, trata-se de </w:t>
      </w:r>
      <w:r>
        <w:rPr>
          <w:rFonts w:ascii="Arial" w:hAnsi="Arial"/>
          <w:b/>
        </w:rPr>
        <w:t>atividade</w:t>
      </w:r>
      <w:r>
        <w:rPr>
          <w:rFonts w:ascii="Arial" w:hAnsi="Arial"/>
          <w:b/>
        </w:rPr>
        <w:t xml:space="preserve"> meio</w:t>
      </w:r>
      <w:r>
        <w:t>, cujo escopo é bem deﬁnido, usual no mercado e amplamente disponível, o que reforça a prescindibilidade de estudo técnico detalhado para sua viabilização.</w:t>
      </w:r>
    </w:p>
    <w:p w:rsidR="00A94B89" w:rsidRDefault="00D4578A">
      <w:pPr>
        <w:spacing w:before="184" w:line="340" w:lineRule="auto"/>
        <w:ind w:left="134" w:right="113"/>
        <w:jc w:val="both"/>
      </w:pPr>
      <w:r>
        <w:t xml:space="preserve">O valor por inscrição no curso é de </w:t>
      </w:r>
      <w:r>
        <w:rPr>
          <w:rFonts w:ascii="Arial" w:hAnsi="Arial"/>
          <w:b/>
        </w:rPr>
        <w:t>R$ 2.500,00 (dois mil e quinhentos reais)</w:t>
      </w:r>
      <w:r>
        <w:t>. Considerando a p</w:t>
      </w:r>
      <w:r>
        <w:t xml:space="preserve">articipação de </w:t>
      </w:r>
      <w:r>
        <w:rPr>
          <w:rFonts w:ascii="Arial" w:hAnsi="Arial"/>
          <w:b/>
        </w:rPr>
        <w:t>02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(dois)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servidores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deste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Tribunal</w:t>
      </w:r>
      <w:r>
        <w:t xml:space="preserve">, o valor total da contratação será de </w:t>
      </w:r>
      <w:r>
        <w:rPr>
          <w:rFonts w:ascii="Arial" w:hAnsi="Arial"/>
          <w:b/>
        </w:rPr>
        <w:t>R$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5.000,00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(cinco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mil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reais)</w:t>
      </w:r>
      <w:r>
        <w:t>.</w:t>
      </w:r>
    </w:p>
    <w:p w:rsidR="00A94B89" w:rsidRDefault="00D4578A">
      <w:pPr>
        <w:spacing w:before="181" w:line="340" w:lineRule="auto"/>
        <w:ind w:left="134" w:right="112"/>
        <w:jc w:val="both"/>
        <w:rPr>
          <w:rFonts w:ascii="Arial" w:hAnsi="Arial"/>
          <w:b/>
        </w:rPr>
      </w:pPr>
      <w:r>
        <w:t xml:space="preserve">Ademais,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observância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ao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item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39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Portaria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CNJ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57/2023</w:t>
      </w:r>
      <w:r>
        <w:t>,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institui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 xml:space="preserve">Regulamento do Ranking da Transparência do Poder Judiciário ? Ano 2023, </w:t>
      </w:r>
      <w:r>
        <w:rPr>
          <w:rFonts w:ascii="Arial" w:hAnsi="Arial"/>
          <w:b/>
        </w:rPr>
        <w:t xml:space="preserve">justifica-se a ausência de publicação de Estudos Técnicos Preliminares (ETP) </w:t>
      </w:r>
      <w:r>
        <w:t>em razão da natureza da contratação, que tem por objeto a</w:t>
      </w:r>
      <w:r>
        <w:rPr>
          <w:spacing w:val="40"/>
        </w:rPr>
        <w:t xml:space="preserve"> </w:t>
      </w:r>
      <w:r>
        <w:t xml:space="preserve">realização de </w:t>
      </w:r>
      <w:r>
        <w:rPr>
          <w:rFonts w:ascii="Arial" w:hAnsi="Arial"/>
          <w:b/>
        </w:rPr>
        <w:t>curso de capacitação, por inexigibi</w:t>
      </w:r>
      <w:r>
        <w:rPr>
          <w:rFonts w:ascii="Arial" w:hAnsi="Arial"/>
          <w:b/>
        </w:rPr>
        <w:t>lidade de licitação</w:t>
      </w:r>
      <w:r>
        <w:t xml:space="preserve">, para a qual </w:t>
      </w:r>
      <w:r>
        <w:rPr>
          <w:rFonts w:ascii="Arial" w:hAnsi="Arial"/>
          <w:b/>
        </w:rPr>
        <w:t>há dispensa da elaboração de ETP.</w:t>
      </w:r>
    </w:p>
    <w:p w:rsidR="00A94B89" w:rsidRDefault="00D4578A">
      <w:pPr>
        <w:pStyle w:val="Corpodetexto"/>
        <w:spacing w:before="184" w:line="340" w:lineRule="auto"/>
        <w:ind w:left="134" w:right="112"/>
        <w:jc w:val="both"/>
      </w:pPr>
      <w:r>
        <w:t>Assim, por se tratar de objeto padronizado, com especiﬁcações claras e usualmente contratado por esta Administração,</w:t>
      </w:r>
      <w:r>
        <w:rPr>
          <w:spacing w:val="70"/>
        </w:rPr>
        <w:t xml:space="preserve"> </w:t>
      </w:r>
      <w:r>
        <w:t>entende-se</w:t>
      </w:r>
      <w:r>
        <w:rPr>
          <w:spacing w:val="70"/>
        </w:rPr>
        <w:t xml:space="preserve"> </w:t>
      </w:r>
      <w:r>
        <w:t>desnecessária</w:t>
      </w:r>
      <w:r>
        <w:rPr>
          <w:spacing w:val="70"/>
        </w:rPr>
        <w:t xml:space="preserve"> </w:t>
      </w:r>
      <w:r>
        <w:t>a</w:t>
      </w:r>
      <w:r>
        <w:rPr>
          <w:spacing w:val="71"/>
        </w:rPr>
        <w:t xml:space="preserve"> </w:t>
      </w:r>
      <w:r>
        <w:t>elaboração</w:t>
      </w:r>
      <w:r>
        <w:rPr>
          <w:spacing w:val="70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Estudo</w:t>
      </w:r>
      <w:r>
        <w:rPr>
          <w:spacing w:val="70"/>
        </w:rPr>
        <w:t xml:space="preserve"> </w:t>
      </w:r>
      <w:r>
        <w:t>Técnico</w:t>
      </w:r>
      <w:r>
        <w:rPr>
          <w:spacing w:val="71"/>
        </w:rPr>
        <w:t xml:space="preserve"> </w:t>
      </w:r>
      <w:r>
        <w:t>Preliminar</w:t>
      </w:r>
      <w:r>
        <w:rPr>
          <w:spacing w:val="70"/>
        </w:rPr>
        <w:t xml:space="preserve"> </w:t>
      </w:r>
      <w:r>
        <w:t>para</w:t>
      </w:r>
      <w:r>
        <w:rPr>
          <w:spacing w:val="70"/>
        </w:rPr>
        <w:t xml:space="preserve"> </w:t>
      </w:r>
      <w:r>
        <w:t>a</w:t>
      </w:r>
      <w:r>
        <w:rPr>
          <w:spacing w:val="70"/>
        </w:rPr>
        <w:t xml:space="preserve"> </w:t>
      </w:r>
      <w:r>
        <w:rPr>
          <w:spacing w:val="-2"/>
        </w:rPr>
        <w:t>presente</w:t>
      </w:r>
    </w:p>
    <w:p w:rsidR="00A94B89" w:rsidRDefault="00A94B89">
      <w:pPr>
        <w:pStyle w:val="Corpodetexto"/>
        <w:spacing w:line="340" w:lineRule="auto"/>
        <w:jc w:val="both"/>
        <w:sectPr w:rsidR="00A94B89">
          <w:headerReference w:type="default" r:id="rId6"/>
          <w:type w:val="continuous"/>
          <w:pgSz w:w="11900" w:h="16840"/>
          <w:pgMar w:top="2100" w:right="425" w:bottom="280" w:left="425" w:header="536" w:footer="0" w:gutter="0"/>
          <w:pgNumType w:start="1"/>
          <w:cols w:space="720"/>
        </w:sectPr>
      </w:pPr>
    </w:p>
    <w:p w:rsidR="00A94B89" w:rsidRDefault="00D4578A">
      <w:pPr>
        <w:pStyle w:val="Corpodetexto"/>
        <w:spacing w:before="208" w:line="340" w:lineRule="auto"/>
        <w:ind w:left="134" w:right="66"/>
      </w:pPr>
      <w:r>
        <w:lastRenderedPageBreak/>
        <w:t>contratação,</w:t>
      </w:r>
      <w:r>
        <w:rPr>
          <w:spacing w:val="-3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prejuízo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adequada</w:t>
      </w:r>
      <w:r>
        <w:rPr>
          <w:spacing w:val="-3"/>
        </w:rPr>
        <w:t xml:space="preserve"> </w:t>
      </w:r>
      <w:r>
        <w:t>instrução</w:t>
      </w:r>
      <w:r>
        <w:rPr>
          <w:spacing w:val="-3"/>
        </w:rPr>
        <w:t xml:space="preserve"> </w:t>
      </w:r>
      <w:r>
        <w:t>processual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Referência,</w:t>
      </w:r>
      <w:r>
        <w:rPr>
          <w:spacing w:val="-3"/>
        </w:rPr>
        <w:t xml:space="preserve"> </w:t>
      </w:r>
      <w:r>
        <w:t>justiﬁcativa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preços e demais documentos pertinentes.</w:t>
      </w:r>
    </w:p>
    <w:p w:rsidR="00A94B89" w:rsidRDefault="00A94B89">
      <w:pPr>
        <w:pStyle w:val="Corpodetexto"/>
        <w:spacing w:before="88"/>
      </w:pPr>
    </w:p>
    <w:p w:rsidR="00A94B89" w:rsidRDefault="00D4578A">
      <w:pPr>
        <w:ind w:left="1139"/>
        <w:rPr>
          <w:sz w:val="13"/>
        </w:rPr>
      </w:pPr>
      <w:r>
        <w:rPr>
          <w:noProof/>
          <w:sz w:val="13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431799</wp:posOffset>
            </wp:positionH>
            <wp:positionV relativeFrom="paragraph">
              <wp:posOffset>-103542</wp:posOffset>
            </wp:positionV>
            <wp:extent cx="476249" cy="31432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Documento</w:t>
      </w:r>
      <w:r>
        <w:rPr>
          <w:spacing w:val="9"/>
          <w:sz w:val="13"/>
        </w:rPr>
        <w:t xml:space="preserve"> </w:t>
      </w:r>
      <w:r>
        <w:rPr>
          <w:sz w:val="13"/>
        </w:rPr>
        <w:t>assinado</w:t>
      </w:r>
      <w:r>
        <w:rPr>
          <w:spacing w:val="10"/>
          <w:sz w:val="13"/>
        </w:rPr>
        <w:t xml:space="preserve"> </w:t>
      </w:r>
      <w:r>
        <w:rPr>
          <w:sz w:val="13"/>
        </w:rPr>
        <w:t>eletronicamente</w:t>
      </w:r>
      <w:r>
        <w:rPr>
          <w:spacing w:val="9"/>
          <w:sz w:val="13"/>
        </w:rPr>
        <w:t xml:space="preserve"> </w:t>
      </w:r>
      <w:r>
        <w:rPr>
          <w:sz w:val="13"/>
        </w:rPr>
        <w:t>por</w:t>
      </w:r>
      <w:r>
        <w:rPr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HANA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YUSIF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AWNI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EL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SHAWWA</w:t>
      </w:r>
      <w:r>
        <w:rPr>
          <w:sz w:val="13"/>
        </w:rPr>
        <w:t>,</w:t>
      </w:r>
      <w:r>
        <w:rPr>
          <w:spacing w:val="10"/>
          <w:sz w:val="13"/>
        </w:rPr>
        <w:t xml:space="preserve"> </w:t>
      </w:r>
      <w:r>
        <w:rPr>
          <w:rFonts w:ascii="Arial" w:hAnsi="Arial"/>
          <w:b/>
          <w:sz w:val="13"/>
        </w:rPr>
        <w:t>Assessor(a)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da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Presidência</w:t>
      </w:r>
      <w:r>
        <w:rPr>
          <w:rFonts w:ascii="Arial" w:hAnsi="Arial"/>
          <w:b/>
          <w:spacing w:val="9"/>
          <w:sz w:val="13"/>
        </w:rPr>
        <w:t xml:space="preserve"> </w:t>
      </w:r>
      <w:r>
        <w:rPr>
          <w:sz w:val="13"/>
        </w:rPr>
        <w:t>em</w:t>
      </w:r>
      <w:r>
        <w:rPr>
          <w:spacing w:val="10"/>
          <w:sz w:val="13"/>
        </w:rPr>
        <w:t xml:space="preserve"> </w:t>
      </w:r>
      <w:r>
        <w:rPr>
          <w:sz w:val="13"/>
        </w:rPr>
        <w:t>08/07/2025</w:t>
      </w:r>
      <w:r>
        <w:rPr>
          <w:spacing w:val="9"/>
          <w:sz w:val="13"/>
        </w:rPr>
        <w:t xml:space="preserve"> </w:t>
      </w:r>
      <w:r>
        <w:rPr>
          <w:sz w:val="13"/>
        </w:rPr>
        <w:t>às</w:t>
      </w:r>
      <w:r>
        <w:rPr>
          <w:spacing w:val="10"/>
          <w:sz w:val="13"/>
        </w:rPr>
        <w:t xml:space="preserve"> </w:t>
      </w:r>
      <w:r>
        <w:rPr>
          <w:spacing w:val="-2"/>
          <w:sz w:val="13"/>
        </w:rPr>
        <w:t>12:07:13.</w:t>
      </w:r>
    </w:p>
    <w:p w:rsidR="00A94B89" w:rsidRDefault="00A94B89">
      <w:pPr>
        <w:pStyle w:val="Corpodetexto"/>
        <w:rPr>
          <w:sz w:val="13"/>
        </w:rPr>
      </w:pPr>
    </w:p>
    <w:p w:rsidR="00A94B89" w:rsidRDefault="00A94B89">
      <w:pPr>
        <w:pStyle w:val="Corpodetexto"/>
        <w:rPr>
          <w:sz w:val="13"/>
        </w:rPr>
      </w:pPr>
    </w:p>
    <w:p w:rsidR="00A94B89" w:rsidRDefault="00A94B89">
      <w:pPr>
        <w:pStyle w:val="Corpodetexto"/>
        <w:rPr>
          <w:sz w:val="13"/>
        </w:rPr>
      </w:pPr>
    </w:p>
    <w:p w:rsidR="00A94B89" w:rsidRDefault="00A94B89">
      <w:pPr>
        <w:pStyle w:val="Corpodetexto"/>
        <w:rPr>
          <w:sz w:val="13"/>
        </w:rPr>
      </w:pPr>
    </w:p>
    <w:p w:rsidR="00A94B89" w:rsidRDefault="00A94B89">
      <w:pPr>
        <w:pStyle w:val="Corpodetexto"/>
        <w:rPr>
          <w:sz w:val="13"/>
        </w:rPr>
      </w:pPr>
    </w:p>
    <w:p w:rsidR="00A94B89" w:rsidRDefault="00A94B89">
      <w:pPr>
        <w:pStyle w:val="Corpodetexto"/>
        <w:rPr>
          <w:sz w:val="13"/>
        </w:rPr>
      </w:pPr>
    </w:p>
    <w:p w:rsidR="00A94B89" w:rsidRDefault="00A94B89">
      <w:pPr>
        <w:pStyle w:val="Corpodetexto"/>
        <w:rPr>
          <w:sz w:val="13"/>
        </w:rPr>
      </w:pPr>
    </w:p>
    <w:p w:rsidR="00A94B89" w:rsidRDefault="00A94B89">
      <w:pPr>
        <w:pStyle w:val="Corpodetexto"/>
        <w:spacing w:before="120"/>
        <w:rPr>
          <w:sz w:val="13"/>
        </w:rPr>
      </w:pPr>
    </w:p>
    <w:p w:rsidR="00A94B89" w:rsidRDefault="00D4578A">
      <w:pPr>
        <w:spacing w:before="1" w:line="249" w:lineRule="auto"/>
        <w:ind w:left="1925"/>
        <w:rPr>
          <w:rFonts w:ascii="Arial" w:hAnsi="Arial"/>
          <w:b/>
          <w:sz w:val="15"/>
        </w:rPr>
      </w:pPr>
      <w:r>
        <w:rPr>
          <w:rFonts w:ascii="Arial" w:hAnsi="Arial"/>
          <w:b/>
          <w:noProof/>
          <w:sz w:val="15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496569</wp:posOffset>
            </wp:positionH>
            <wp:positionV relativeFrom="paragraph">
              <wp:posOffset>-216817</wp:posOffset>
            </wp:positionV>
            <wp:extent cx="781049" cy="78104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Para</w:t>
      </w:r>
      <w:r>
        <w:rPr>
          <w:spacing w:val="-5"/>
          <w:sz w:val="15"/>
        </w:rPr>
        <w:t xml:space="preserve"> </w:t>
      </w:r>
      <w:r>
        <w:rPr>
          <w:sz w:val="15"/>
        </w:rPr>
        <w:t>conferir</w:t>
      </w:r>
      <w:r>
        <w:rPr>
          <w:spacing w:val="-5"/>
          <w:sz w:val="15"/>
        </w:rPr>
        <w:t xml:space="preserve"> </w:t>
      </w:r>
      <w:r>
        <w:rPr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z w:val="15"/>
        </w:rPr>
        <w:t>autenticidade</w:t>
      </w:r>
      <w:r>
        <w:rPr>
          <w:spacing w:val="-5"/>
          <w:sz w:val="15"/>
        </w:rPr>
        <w:t xml:space="preserve"> </w:t>
      </w:r>
      <w:r>
        <w:rPr>
          <w:sz w:val="15"/>
        </w:rPr>
        <w:t>do</w:t>
      </w:r>
      <w:r>
        <w:rPr>
          <w:spacing w:val="-5"/>
          <w:sz w:val="15"/>
        </w:rPr>
        <w:t xml:space="preserve"> </w:t>
      </w:r>
      <w:r>
        <w:rPr>
          <w:sz w:val="15"/>
        </w:rPr>
        <w:t>documento,</w:t>
      </w:r>
      <w:r>
        <w:rPr>
          <w:spacing w:val="-5"/>
          <w:sz w:val="15"/>
        </w:rPr>
        <w:t xml:space="preserve"> </w:t>
      </w:r>
      <w:r>
        <w:rPr>
          <w:sz w:val="15"/>
        </w:rPr>
        <w:t>utilize</w:t>
      </w:r>
      <w:r>
        <w:rPr>
          <w:spacing w:val="-5"/>
          <w:sz w:val="15"/>
        </w:rPr>
        <w:t xml:space="preserve"> </w:t>
      </w:r>
      <w:r>
        <w:rPr>
          <w:sz w:val="15"/>
        </w:rPr>
        <w:t>um</w:t>
      </w:r>
      <w:r>
        <w:rPr>
          <w:spacing w:val="-5"/>
          <w:sz w:val="15"/>
        </w:rPr>
        <w:t xml:space="preserve"> </w:t>
      </w:r>
      <w:r>
        <w:rPr>
          <w:sz w:val="15"/>
        </w:rPr>
        <w:t>leitor</w:t>
      </w:r>
      <w:r>
        <w:rPr>
          <w:spacing w:val="-5"/>
          <w:sz w:val="15"/>
        </w:rPr>
        <w:t xml:space="preserve"> </w:t>
      </w:r>
      <w:r>
        <w:rPr>
          <w:sz w:val="15"/>
        </w:rPr>
        <w:t>de</w:t>
      </w:r>
      <w:r>
        <w:rPr>
          <w:spacing w:val="-5"/>
          <w:sz w:val="15"/>
        </w:rPr>
        <w:t xml:space="preserve"> </w:t>
      </w:r>
      <w:r>
        <w:rPr>
          <w:sz w:val="15"/>
        </w:rPr>
        <w:t>QRCode</w:t>
      </w:r>
      <w:r>
        <w:rPr>
          <w:spacing w:val="-5"/>
          <w:sz w:val="15"/>
        </w:rPr>
        <w:t xml:space="preserve"> </w:t>
      </w:r>
      <w:r>
        <w:rPr>
          <w:sz w:val="15"/>
        </w:rPr>
        <w:t>ou</w:t>
      </w:r>
      <w:r>
        <w:rPr>
          <w:spacing w:val="-5"/>
          <w:sz w:val="15"/>
        </w:rPr>
        <w:t xml:space="preserve"> </w:t>
      </w:r>
      <w:r>
        <w:rPr>
          <w:sz w:val="15"/>
        </w:rPr>
        <w:t>acesse</w:t>
      </w:r>
      <w:r>
        <w:rPr>
          <w:spacing w:val="-5"/>
          <w:sz w:val="15"/>
        </w:rPr>
        <w:t xml:space="preserve"> </w:t>
      </w:r>
      <w:r>
        <w:rPr>
          <w:sz w:val="15"/>
        </w:rPr>
        <w:t>o</w:t>
      </w:r>
      <w:r>
        <w:rPr>
          <w:spacing w:val="-5"/>
          <w:sz w:val="15"/>
        </w:rPr>
        <w:t xml:space="preserve"> </w:t>
      </w:r>
      <w:r>
        <w:rPr>
          <w:sz w:val="15"/>
        </w:rPr>
        <w:t xml:space="preserve">endereço </w:t>
      </w:r>
      <w:hyperlink r:id="rId9">
        <w:r>
          <w:rPr>
            <w:rFonts w:ascii="Arial" w:hAnsi="Arial"/>
            <w:b/>
            <w:sz w:val="15"/>
          </w:rPr>
          <w:t>http://appgrp.tjac.jus.br/grp/acessoexterno/programaAcessoExterno.faces?codigo=670270</w:t>
        </w:r>
      </w:hyperlink>
      <w:r>
        <w:rPr>
          <w:rFonts w:ascii="Arial" w:hAnsi="Arial"/>
          <w:b/>
          <w:spacing w:val="-11"/>
          <w:sz w:val="15"/>
        </w:rPr>
        <w:t xml:space="preserve"> </w:t>
      </w:r>
      <w:r>
        <w:rPr>
          <w:sz w:val="15"/>
        </w:rPr>
        <w:t>e</w:t>
      </w:r>
      <w:r>
        <w:rPr>
          <w:spacing w:val="-10"/>
          <w:sz w:val="15"/>
        </w:rPr>
        <w:t xml:space="preserve"> </w:t>
      </w:r>
      <w:r>
        <w:rPr>
          <w:sz w:val="15"/>
        </w:rPr>
        <w:t>informe</w:t>
      </w:r>
      <w:r>
        <w:rPr>
          <w:spacing w:val="-11"/>
          <w:sz w:val="15"/>
        </w:rPr>
        <w:t xml:space="preserve"> </w:t>
      </w:r>
      <w:r>
        <w:rPr>
          <w:sz w:val="15"/>
        </w:rPr>
        <w:t>a</w:t>
      </w:r>
      <w:r>
        <w:rPr>
          <w:spacing w:val="-10"/>
          <w:sz w:val="15"/>
        </w:rPr>
        <w:t xml:space="preserve"> </w:t>
      </w:r>
      <w:r>
        <w:rPr>
          <w:sz w:val="15"/>
        </w:rPr>
        <w:t xml:space="preserve">chancela </w:t>
      </w:r>
      <w:r>
        <w:rPr>
          <w:rFonts w:ascii="Arial" w:hAnsi="Arial"/>
          <w:b/>
          <w:spacing w:val="-2"/>
          <w:sz w:val="15"/>
        </w:rPr>
        <w:t>WMQI.4BLI.EV7D.L8RX</w:t>
      </w:r>
    </w:p>
    <w:sectPr w:rsidR="00A94B89">
      <w:headerReference w:type="default" r:id="rId10"/>
      <w:pgSz w:w="11900" w:h="16840"/>
      <w:pgMar w:top="2100" w:right="425" w:bottom="280" w:left="425" w:header="5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78A" w:rsidRDefault="00D4578A">
      <w:r>
        <w:separator/>
      </w:r>
    </w:p>
  </w:endnote>
  <w:endnote w:type="continuationSeparator" w:id="0">
    <w:p w:rsidR="00D4578A" w:rsidRDefault="00D4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78A" w:rsidRDefault="00D4578A">
      <w:r>
        <w:separator/>
      </w:r>
    </w:p>
  </w:footnote>
  <w:footnote w:type="continuationSeparator" w:id="0">
    <w:p w:rsidR="00D4578A" w:rsidRDefault="00D4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B89" w:rsidRDefault="00D4578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53536" behindDoc="1" locked="0" layoutInCell="1" allowOverlap="1">
          <wp:simplePos x="0" y="0"/>
          <wp:positionH relativeFrom="page">
            <wp:posOffset>3270661</wp:posOffset>
          </wp:positionH>
          <wp:positionV relativeFrom="page">
            <wp:posOffset>340276</wp:posOffset>
          </wp:positionV>
          <wp:extent cx="1007186" cy="9936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93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6194412</wp:posOffset>
              </wp:positionH>
              <wp:positionV relativeFrom="page">
                <wp:posOffset>1949449</wp:posOffset>
              </wp:positionV>
              <wp:extent cx="3810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" h="9525">
                            <a:moveTo>
                              <a:pt x="3434" y="9524"/>
                            </a:moveTo>
                            <a:lnTo>
                              <a:pt x="0" y="9524"/>
                            </a:lnTo>
                            <a:lnTo>
                              <a:pt x="0" y="0"/>
                            </a:lnTo>
                            <a:lnTo>
                              <a:pt x="3434" y="0"/>
                            </a:lnTo>
                            <a:lnTo>
                              <a:pt x="3434" y="95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C1A03" id="Graphic 2" o:spid="_x0000_s1026" style="position:absolute;margin-left:487.75pt;margin-top:153.5pt;width:.3pt;height:.7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" path="m3434,9524l,9524,,,3434,r,9524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B89" w:rsidRDefault="00D4578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54560" behindDoc="1" locked="0" layoutInCell="1" allowOverlap="1">
          <wp:simplePos x="0" y="0"/>
          <wp:positionH relativeFrom="page">
            <wp:posOffset>3270661</wp:posOffset>
          </wp:positionH>
          <wp:positionV relativeFrom="page">
            <wp:posOffset>340276</wp:posOffset>
          </wp:positionV>
          <wp:extent cx="1007186" cy="99361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93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89"/>
    <w:rsid w:val="00702556"/>
    <w:rsid w:val="00A94B89"/>
    <w:rsid w:val="00D4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80D9C-0CD7-466B-AF9E-E4F3318A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20"/>
      <w:jc w:val="center"/>
    </w:pPr>
    <w:rPr>
      <w:rFonts w:ascii="Arial" w:eastAsia="Arial" w:hAnsi="Arial" w:cs="Arial"/>
      <w:b/>
      <w:bCs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appgrp.tjac.jus.br/grp/acessoexterno/programaAcessoExterno.faces?codigo=6702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2025-12-23T14:57:00Z</dcterms:created>
  <dcterms:modified xsi:type="dcterms:W3CDTF">2025-12-23T14:57:00Z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2025-12-23T00:00:00Z</vt:filetime>
  </property>
</Properties>
</file>